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kern w:val="0"/>
          <w:sz w:val="28"/>
          <w:szCs w:val="28"/>
        </w:rPr>
      </w:pPr>
    </w:p>
    <w:p>
      <w:pPr>
        <w:adjustRightInd w:val="0"/>
        <w:snapToGrid w:val="0"/>
        <w:spacing w:line="300" w:lineRule="auto"/>
        <w:jc w:val="left"/>
        <w:rPr>
          <w:b/>
          <w:bCs/>
          <w:snapToGrid w:val="0"/>
          <w:kern w:val="0"/>
          <w:sz w:val="28"/>
          <w:szCs w:val="28"/>
        </w:rPr>
      </w:pPr>
      <w:r>
        <w:rPr>
          <w:b/>
          <w:bCs/>
          <w:snapToGrid w:val="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580390</wp:posOffset>
                </wp:positionH>
                <wp:positionV relativeFrom="paragraph">
                  <wp:posOffset>-41910</wp:posOffset>
                </wp:positionV>
                <wp:extent cx="3743960" cy="594360"/>
                <wp:effectExtent l="4445" t="4445" r="23495" b="10795"/>
                <wp:wrapNone/>
                <wp:docPr id="1" name="文本框 299"/>
                <wp:cNvGraphicFramePr/>
                <a:graphic xmlns:a="http://schemas.openxmlformats.org/drawingml/2006/main">
                  <a:graphicData uri="http://schemas.microsoft.com/office/word/2010/wordprocessingShape">
                    <wps:wsp>
                      <wps:cNvSpPr txBox="1"/>
                      <wps:spPr>
                        <a:xfrm>
                          <a:off x="0" y="0"/>
                          <a:ext cx="3743960" cy="59436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wps:txbx>
                      <wps:bodyPr upright="1"/>
                    </wps:wsp>
                  </a:graphicData>
                </a:graphic>
              </wp:anchor>
            </w:drawing>
          </mc:Choice>
          <mc:Fallback>
            <w:pict>
              <v:shape id="文本框 299" o:spid="_x0000_s1026" o:spt="202" type="#_x0000_t202" style="position:absolute;left:0pt;margin-left:45.7pt;margin-top:-3.3pt;height:46.8pt;width:294.8pt;z-index:251659264;mso-width-relative:page;mso-height-relative:page;" fillcolor="#FFFFFF" filled="t" stroked="t" coordsize="21600,21600"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&#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t8zXHXAAAACAEAAA8AAAAAAAAAAQAgAAAAIgAAAGRy&#10;cy9kb3ducmV2LnhtbFBLAQIUABQAAAAIAIdO4kArurN3BgIAADgEAAAOAAAAAAAAAAEAIAAAACYB&#10;AABkcnMvZTJvRG9jLnhtbFBLBQYAAAAABgAGAFkBAACeBQAAAAA=&#10;">
                <v:fill on="t" focussize="0,0"/>
                <v:stroke color="#FFFFFF" joinstyle="miter"/>
                <v:imagedata o:title=""/>
                <o:lock v:ext="edit" aspectratio="f"/>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mc:Fallback>
        </mc:AlternateConten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r>
        <w:rPr>
          <w:rFonts w:hint="eastAsia"/>
          <w:b/>
          <w:bCs/>
          <w:snapToGrid w:val="0"/>
          <w:kern w:val="0"/>
          <w:sz w:val="28"/>
          <w:szCs w:val="28"/>
        </w:rPr>
        <w:t xml:space="preserve"> </w:t>
      </w:r>
    </w:p>
    <w:p>
      <w:pPr>
        <w:adjustRightInd w:val="0"/>
        <w:snapToGrid w:val="0"/>
        <w:spacing w:line="300" w:lineRule="auto"/>
        <w:jc w:val="left"/>
        <w:rPr>
          <w:b/>
          <w:bCs/>
          <w:snapToGrid w:val="0"/>
          <w:kern w:val="0"/>
          <w:sz w:val="72"/>
          <w:szCs w:val="72"/>
        </w:rPr>
      </w:pPr>
    </w:p>
    <w:p>
      <w:pPr>
        <w:adjustRightInd w:val="0"/>
        <w:snapToGrid w:val="0"/>
        <w:spacing w:line="300" w:lineRule="auto"/>
        <w:jc w:val="center"/>
        <w:rPr>
          <w:rFonts w:ascii="经典标宋简" w:eastAsia="经典标宋简"/>
          <w:b/>
          <w:snapToGrid w:val="0"/>
          <w:kern w:val="0"/>
          <w:sz w:val="72"/>
          <w:szCs w:val="72"/>
        </w:rPr>
      </w:pPr>
      <w:r>
        <w:rPr>
          <w:rFonts w:hint="eastAsia" w:ascii="经典标宋简" w:eastAsia="经典标宋简"/>
          <w:b/>
          <w:snapToGrid w:val="0"/>
          <w:kern w:val="0"/>
          <w:sz w:val="72"/>
          <w:szCs w:val="72"/>
        </w:rPr>
        <w:t>龙岗区耳鼻咽喉医院信息系统软件建设维护服务项目</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90"/>
        </w:rPr>
      </w:pPr>
      <w:r>
        <w:rPr>
          <w:rFonts w:hint="eastAsia" w:ascii="经典标宋简" w:eastAsia="经典标宋简"/>
          <w:b/>
          <w:snapToGrid w:val="0"/>
          <w:kern w:val="0"/>
          <w:sz w:val="90"/>
        </w:rPr>
        <w:t>招　标　文　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Theme="minorEastAsia" w:hAnsiTheme="minorEastAsia" w:eastAsiaTheme="minorEastAsia"/>
          <w:b/>
          <w:snapToGrid w:val="0"/>
          <w:kern w:val="0"/>
          <w:sz w:val="32"/>
        </w:rPr>
      </w:pPr>
      <w:r>
        <w:rPr>
          <w:rFonts w:hint="eastAsia" w:asciiTheme="minorEastAsia" w:hAnsiTheme="minorEastAsia" w:eastAsiaTheme="minorEastAsia"/>
          <w:b/>
          <w:snapToGrid w:val="0"/>
          <w:kern w:val="0"/>
          <w:sz w:val="32"/>
        </w:rPr>
        <w:t>项目编号：SZZZ2021-QC0380</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pPr>
        <w:pStyle w:val="28"/>
        <w:adjustRightInd w:val="0"/>
        <w:snapToGrid w:val="0"/>
        <w:spacing w:line="300" w:lineRule="auto"/>
        <w:jc w:val="center"/>
        <w:rPr>
          <w:rFonts w:ascii="Times New Roman" w:hAnsi="Times New Roman" w:eastAsia="经典等线简"/>
          <w:b/>
          <w:snapToGrid w:val="0"/>
          <w:sz w:val="30"/>
        </w:rPr>
      </w:pPr>
    </w:p>
    <w:p/>
    <w:p/>
    <w:p/>
    <w:p/>
    <w:p>
      <w:pPr>
        <w:pStyle w:val="28"/>
        <w:adjustRightInd w:val="0"/>
        <w:snapToGrid w:val="0"/>
        <w:spacing w:line="300" w:lineRule="auto"/>
        <w:ind w:hanging="835"/>
        <w:jc w:val="center"/>
        <w:rPr>
          <w:b/>
          <w:kern w:val="0"/>
          <w:sz w:val="28"/>
          <w:szCs w:val="28"/>
        </w:rPr>
      </w:pPr>
      <w:r>
        <w:rPr>
          <w:rFonts w:hint="eastAsia"/>
          <w:b/>
          <w:snapToGrid w:val="0"/>
          <w:sz w:val="30"/>
        </w:rPr>
        <w:t>二〇二一年十二月</w:t>
      </w:r>
      <w:r>
        <w:rPr>
          <w:b/>
          <w:kern w:val="0"/>
          <w:sz w:val="28"/>
          <w:szCs w:val="28"/>
        </w:rPr>
        <w:br w:type="page"/>
      </w:r>
    </w:p>
    <w:p>
      <w:pPr>
        <w:jc w:val="center"/>
        <w:rPr>
          <w:rFonts w:asciiTheme="minorEastAsia" w:hAnsiTheme="minorEastAsia" w:eastAsiaTheme="minorEastAsia"/>
          <w:b/>
          <w:bCs/>
          <w:szCs w:val="21"/>
        </w:rPr>
      </w:pP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360" w:lineRule="auto"/>
        <w:ind w:firstLine="480" w:firstLineChars="200"/>
        <w:rPr>
          <w:rFonts w:ascii="仿宋" w:hAnsi="仿宋" w:eastAsia="仿宋"/>
          <w:sz w:val="24"/>
        </w:rPr>
      </w:pPr>
      <w:r>
        <w:rPr>
          <w:rFonts w:hint="eastAsia" w:ascii="仿宋" w:hAnsi="仿宋" w:eastAsia="仿宋"/>
          <w:sz w:val="24"/>
        </w:rPr>
        <w:t>一、《深圳经济特区政府采购条例》第五十七条</w:t>
      </w:r>
      <w:r>
        <w:rPr>
          <w:rFonts w:ascii="仿宋" w:hAnsi="仿宋" w:eastAsia="仿宋"/>
          <w:sz w:val="24"/>
        </w:rPr>
        <w:t xml:space="preserve"> </w:t>
      </w:r>
      <w:r>
        <w:rPr>
          <w:rFonts w:hint="eastAsia" w:ascii="仿宋" w:hAnsi="仿宋" w:eastAsia="仿宋"/>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360" w:lineRule="auto"/>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360" w:lineRule="auto"/>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360" w:lineRule="auto"/>
        <w:ind w:firstLine="480" w:firstLineChars="200"/>
        <w:rPr>
          <w:rFonts w:ascii="仿宋" w:hAnsi="仿宋" w:eastAsia="仿宋"/>
          <w:sz w:val="24"/>
        </w:rPr>
      </w:pPr>
      <w:r>
        <w:rPr>
          <w:rFonts w:hint="eastAsia" w:ascii="仿宋" w:hAnsi="仿宋" w:eastAsia="仿宋"/>
          <w:sz w:val="24"/>
        </w:rPr>
        <w:t>（三）隐瞒真实情况，提供虚假资料的；</w:t>
      </w:r>
    </w:p>
    <w:p>
      <w:pPr>
        <w:spacing w:line="360" w:lineRule="auto"/>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360" w:lineRule="auto"/>
        <w:ind w:firstLine="480" w:firstLineChars="200"/>
        <w:rPr>
          <w:rFonts w:ascii="仿宋" w:hAnsi="仿宋" w:eastAsia="仿宋"/>
          <w:sz w:val="24"/>
        </w:rPr>
      </w:pPr>
      <w:r>
        <w:rPr>
          <w:rFonts w:hint="eastAsia" w:ascii="仿宋" w:hAnsi="仿宋" w:eastAsia="仿宋"/>
          <w:sz w:val="24"/>
        </w:rPr>
        <w:t>（五）与其他采购参加人串通投标的；</w:t>
      </w:r>
    </w:p>
    <w:p>
      <w:pPr>
        <w:spacing w:line="360" w:lineRule="auto"/>
        <w:ind w:firstLine="480" w:firstLineChars="200"/>
        <w:rPr>
          <w:rFonts w:ascii="仿宋" w:hAnsi="仿宋" w:eastAsia="仿宋"/>
          <w:sz w:val="24"/>
        </w:rPr>
      </w:pPr>
      <w:r>
        <w:rPr>
          <w:rFonts w:hint="eastAsia" w:ascii="仿宋" w:hAnsi="仿宋" w:eastAsia="仿宋"/>
          <w:sz w:val="24"/>
        </w:rPr>
        <w:t>（六）恶意投诉的；</w:t>
      </w:r>
    </w:p>
    <w:p>
      <w:pPr>
        <w:spacing w:line="360" w:lineRule="auto"/>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360" w:lineRule="auto"/>
        <w:ind w:firstLine="480" w:firstLineChars="200"/>
        <w:rPr>
          <w:rFonts w:ascii="仿宋" w:hAnsi="仿宋" w:eastAsia="仿宋"/>
          <w:sz w:val="24"/>
        </w:rPr>
      </w:pPr>
      <w:r>
        <w:rPr>
          <w:rFonts w:hint="eastAsia" w:ascii="仿宋" w:hAnsi="仿宋" w:eastAsia="仿宋"/>
          <w:sz w:val="24"/>
        </w:rPr>
        <w:t>（八）阻碍、抗拒主管部门监督检查的；</w:t>
      </w:r>
    </w:p>
    <w:p>
      <w:pPr>
        <w:spacing w:line="360" w:lineRule="auto"/>
        <w:ind w:firstLine="480" w:firstLineChars="200"/>
        <w:rPr>
          <w:rFonts w:ascii="仿宋" w:hAnsi="仿宋" w:eastAsia="仿宋"/>
          <w:sz w:val="24"/>
        </w:rPr>
      </w:pPr>
      <w:r>
        <w:rPr>
          <w:rFonts w:hint="eastAsia" w:ascii="仿宋" w:hAnsi="仿宋" w:eastAsia="仿宋"/>
          <w:sz w:val="24"/>
        </w:rPr>
        <w:t>（九）其他违反本条例规定的行为。</w:t>
      </w:r>
    </w:p>
    <w:p>
      <w:pPr>
        <w:spacing w:line="360" w:lineRule="auto"/>
        <w:ind w:firstLine="480" w:firstLineChars="200"/>
        <w:rPr>
          <w:rFonts w:ascii="仿宋" w:hAnsi="仿宋" w:eastAsia="仿宋"/>
          <w:sz w:val="24"/>
        </w:rPr>
      </w:pPr>
    </w:p>
    <w:p>
      <w:pPr>
        <w:spacing w:line="360" w:lineRule="auto"/>
        <w:ind w:firstLine="480" w:firstLineChars="200"/>
        <w:rPr>
          <w:rFonts w:ascii="仿宋" w:hAnsi="仿宋" w:eastAsia="仿宋"/>
          <w:sz w:val="24"/>
        </w:rPr>
      </w:pPr>
      <w:r>
        <w:rPr>
          <w:rFonts w:hint="eastAsia" w:ascii="仿宋" w:hAnsi="仿宋" w:eastAsia="仿宋"/>
          <w:sz w:val="24"/>
        </w:rPr>
        <w:t>二、《深圳经济特区政府采购条例实施细则》第七十六条 供应商有下列行为之一的，由主管部门记入供应商诚信档案并作出以下处罚：</w:t>
      </w:r>
    </w:p>
    <w:p>
      <w:pPr>
        <w:spacing w:line="360" w:lineRule="auto"/>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spacing w:line="360" w:lineRule="auto"/>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spacing w:line="360" w:lineRule="auto"/>
        <w:ind w:firstLine="480" w:firstLineChars="200"/>
        <w:rPr>
          <w:rFonts w:ascii="仿宋" w:hAnsi="仿宋" w:eastAsia="仿宋"/>
          <w:sz w:val="24"/>
        </w:rPr>
      </w:pPr>
      <w:r>
        <w:rPr>
          <w:rFonts w:hint="eastAsia" w:ascii="仿宋" w:hAnsi="仿宋" w:eastAsia="仿宋"/>
          <w:sz w:val="24"/>
        </w:rPr>
        <w:t xml:space="preserve">第七十七条 供应商有下列行为之一的，属于情节严重，由市场监管部门依法吊销其营业执照，主管部门取消其参与本市政府采购的资格，并作出以下处罚： </w:t>
      </w:r>
    </w:p>
    <w:p>
      <w:pPr>
        <w:spacing w:line="360" w:lineRule="auto"/>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spacing w:line="360" w:lineRule="auto"/>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spacing w:line="360" w:lineRule="auto"/>
        <w:ind w:firstLine="480" w:firstLineChars="200"/>
        <w:rPr>
          <w:rFonts w:ascii="仿宋" w:hAnsi="仿宋" w:eastAsia="仿宋"/>
          <w:sz w:val="24"/>
        </w:rPr>
      </w:pPr>
      <w:r>
        <w:rPr>
          <w:rFonts w:hint="eastAsia" w:ascii="仿宋" w:hAnsi="仿宋" w:eastAsia="仿宋"/>
          <w:sz w:val="24"/>
        </w:rPr>
        <w:t>第七十九条 供应商有下列情形的，属于采购条例所称的串通投标行为，按照采购条例第五十七条有关规定处理：</w:t>
      </w:r>
    </w:p>
    <w:p>
      <w:pPr>
        <w:spacing w:line="360" w:lineRule="auto"/>
        <w:ind w:firstLine="480" w:firstLineChars="200"/>
        <w:rPr>
          <w:rFonts w:ascii="仿宋" w:hAnsi="仿宋" w:eastAsia="仿宋"/>
          <w:sz w:val="24"/>
        </w:rPr>
      </w:pPr>
      <w:r>
        <w:rPr>
          <w:rFonts w:hint="eastAsia" w:ascii="仿宋" w:hAnsi="仿宋" w:eastAsia="仿宋"/>
          <w:sz w:val="24"/>
        </w:rPr>
        <w:t>（一）投标供应商之间相互约定给予未中标的供应商利益补偿；</w:t>
      </w:r>
    </w:p>
    <w:p>
      <w:pPr>
        <w:spacing w:line="360" w:lineRule="auto"/>
        <w:ind w:firstLine="480" w:firstLineChars="200"/>
        <w:rPr>
          <w:rFonts w:ascii="仿宋" w:hAnsi="仿宋" w:eastAsia="仿宋"/>
          <w:sz w:val="24"/>
        </w:rPr>
      </w:pPr>
      <w:r>
        <w:rPr>
          <w:rFonts w:hint="eastAsia" w:ascii="仿宋" w:hAnsi="仿宋" w:eastAsia="仿宋"/>
          <w:sz w:val="24"/>
        </w:rPr>
        <w:t xml:space="preserve">（二）不同投标供应商的法定代表人、主要经营负责人、项目投标授权代表人、项目负责人、主要技术人员为同一人、属同一单位或者在同一单位缴纳社会保险；          </w:t>
      </w:r>
    </w:p>
    <w:p>
      <w:pPr>
        <w:spacing w:line="360" w:lineRule="auto"/>
        <w:ind w:firstLine="480" w:firstLineChars="200"/>
        <w:rPr>
          <w:rFonts w:ascii="仿宋" w:hAnsi="仿宋" w:eastAsia="仿宋"/>
          <w:sz w:val="24"/>
        </w:rPr>
      </w:pPr>
      <w:r>
        <w:rPr>
          <w:rFonts w:hint="eastAsia" w:ascii="仿宋" w:hAnsi="仿宋" w:eastAsia="仿宋"/>
          <w:sz w:val="24"/>
        </w:rPr>
        <w:t>（三）不同投标供应商的投标文件由同一单位或者同一人编制，或者由同一人分阶段参与编制的；</w:t>
      </w:r>
    </w:p>
    <w:p>
      <w:pPr>
        <w:spacing w:line="360" w:lineRule="auto"/>
        <w:ind w:firstLine="480" w:firstLineChars="200"/>
        <w:rPr>
          <w:rFonts w:ascii="仿宋" w:hAnsi="仿宋" w:eastAsia="仿宋"/>
          <w:sz w:val="24"/>
        </w:rPr>
      </w:pPr>
      <w:r>
        <w:rPr>
          <w:rFonts w:hint="eastAsia" w:ascii="仿宋" w:hAnsi="仿宋" w:eastAsia="仿宋"/>
          <w:sz w:val="24"/>
        </w:rPr>
        <w:t>（四）不同投标供应商的投标文件或部分投标文件相互混装；</w:t>
      </w:r>
    </w:p>
    <w:p>
      <w:pPr>
        <w:spacing w:line="360" w:lineRule="auto"/>
        <w:ind w:firstLine="480" w:firstLineChars="200"/>
        <w:rPr>
          <w:rFonts w:ascii="仿宋" w:hAnsi="仿宋" w:eastAsia="仿宋"/>
          <w:sz w:val="24"/>
        </w:rPr>
      </w:pPr>
      <w:r>
        <w:rPr>
          <w:rFonts w:hint="eastAsia" w:ascii="仿宋" w:hAnsi="仿宋" w:eastAsia="仿宋"/>
          <w:sz w:val="24"/>
        </w:rPr>
        <w:t>（五）不同投标供应商的投标文件内容存在非正常一致；</w:t>
      </w:r>
    </w:p>
    <w:p>
      <w:pPr>
        <w:spacing w:line="360" w:lineRule="auto"/>
        <w:ind w:firstLine="480" w:firstLineChars="200"/>
        <w:rPr>
          <w:rFonts w:ascii="仿宋" w:hAnsi="仿宋" w:eastAsia="仿宋"/>
          <w:sz w:val="24"/>
        </w:rPr>
      </w:pPr>
      <w:r>
        <w:rPr>
          <w:rFonts w:hint="eastAsia" w:ascii="仿宋" w:hAnsi="仿宋" w:eastAsia="仿宋"/>
          <w:sz w:val="24"/>
        </w:rPr>
        <w:t>（六）由同一单位工作人员为两家以上（含两家）供应商进行同一项投标活动的；</w:t>
      </w:r>
    </w:p>
    <w:p>
      <w:pPr>
        <w:spacing w:line="360" w:lineRule="auto"/>
        <w:ind w:firstLine="480" w:firstLineChars="200"/>
        <w:rPr>
          <w:rFonts w:ascii="仿宋" w:hAnsi="仿宋" w:eastAsia="仿宋"/>
          <w:sz w:val="24"/>
        </w:rPr>
      </w:pPr>
      <w:r>
        <w:rPr>
          <w:rFonts w:hint="eastAsia" w:ascii="仿宋" w:hAnsi="仿宋" w:eastAsia="仿宋"/>
          <w:sz w:val="24"/>
        </w:rPr>
        <w:t>（七）主管部门依照法律、法规认定的其他情形。</w:t>
      </w:r>
    </w:p>
    <w:p>
      <w:pPr>
        <w:spacing w:line="360" w:lineRule="auto"/>
        <w:ind w:firstLine="480" w:firstLineChars="200"/>
        <w:rPr>
          <w:rFonts w:ascii="仿宋" w:hAnsi="仿宋" w:eastAsia="仿宋"/>
          <w:sz w:val="24"/>
        </w:rPr>
      </w:pPr>
      <w:r>
        <w:rPr>
          <w:rFonts w:hint="eastAsia" w:ascii="仿宋" w:hAnsi="仿宋" w:eastAsia="仿宋"/>
          <w:sz w:val="24"/>
        </w:rPr>
        <w:t>第八十一条 供应商有下列情形之一的，属于隐瞒真实情况，提供虚假资料，按照采购条例第五十七的有关规定处理：</w:t>
      </w:r>
    </w:p>
    <w:p>
      <w:pPr>
        <w:spacing w:line="360" w:lineRule="auto"/>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360" w:lineRule="auto"/>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360" w:lineRule="auto"/>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360" w:lineRule="auto"/>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360" w:lineRule="auto"/>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80" w:firstLineChars="200"/>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82" w:firstLineChars="200"/>
        <w:rPr>
          <w:rFonts w:ascii="仿宋_GB2312" w:eastAsia="仿宋_GB2312" w:hAnsiTheme="minorEastAsia"/>
          <w:b/>
          <w:color w:val="FF0000"/>
          <w:sz w:val="24"/>
        </w:rPr>
      </w:pPr>
      <w:r>
        <w:rPr>
          <w:rFonts w:hint="eastAsia" w:ascii="仿宋_GB2312" w:eastAsia="仿宋_GB2312" w:hAnsiTheme="minorEastAsia"/>
          <w:b/>
          <w:color w:val="FF0000"/>
          <w:sz w:val="24"/>
        </w:rPr>
        <w:t>三、根据《中华人民共和国政府采购法实施条例》第十八条规定：“单位负责人为同一人或者存在直接控股、管理关系的不同供应商，不得参加同一合同项下的政府采购活动。”</w:t>
      </w:r>
    </w:p>
    <w:p>
      <w:pPr>
        <w:widowControl/>
        <w:spacing w:line="360" w:lineRule="auto"/>
        <w:jc w:val="left"/>
      </w:pPr>
      <w:r>
        <w:rPr>
          <w:rFonts w:hint="eastAsia" w:ascii="仿宋_GB2312" w:eastAsia="仿宋_GB2312" w:hAnsiTheme="minorEastAsia"/>
          <w:b/>
          <w:color w:val="FF0000"/>
          <w:sz w:val="24"/>
        </w:rPr>
        <w:t>投标供应商涉嫌存在串通投标等违法行为的，将书面报告财政主管部门依法处理。</w:t>
      </w:r>
      <w:r>
        <w:br w:type="page"/>
      </w:r>
    </w:p>
    <w:p/>
    <w:sdt>
      <w:sdtPr>
        <w:rPr>
          <w:rFonts w:ascii="Times New Roman" w:hAnsi="Times New Roman" w:eastAsia="宋体" w:cs="Times New Roman"/>
          <w:bCs w:val="0"/>
          <w:color w:val="auto"/>
          <w:kern w:val="2"/>
          <w:sz w:val="21"/>
          <w:szCs w:val="24"/>
          <w:lang w:val="zh-CN"/>
        </w:rPr>
        <w:id w:val="11733101"/>
        <w:docPartObj>
          <w:docPartGallery w:val="Table of Contents"/>
          <w:docPartUnique/>
        </w:docPartObj>
      </w:sdtPr>
      <w:sdtEndPr>
        <w:rPr>
          <w:rFonts w:hint="eastAsia" w:ascii="宋体" w:hAnsi="宋体" w:eastAsia="宋体" w:cs="宋体"/>
          <w:bCs w:val="0"/>
          <w:color w:val="auto"/>
          <w:kern w:val="2"/>
          <w:sz w:val="21"/>
          <w:szCs w:val="21"/>
          <w:lang w:val="en-US"/>
        </w:rPr>
      </w:sdtEndPr>
      <w:sdtContent>
        <w:p>
          <w:pPr>
            <w:pStyle w:val="504"/>
            <w:jc w:val="center"/>
            <w:rPr>
              <w:color w:val="000000" w:themeColor="text1"/>
              <w:lang w:val="zh-CN"/>
              <w14:textFill>
                <w14:solidFill>
                  <w14:schemeClr w14:val="tx1"/>
                </w14:solidFill>
              </w14:textFill>
            </w:rPr>
          </w:pPr>
          <w:r>
            <w:rPr>
              <w:color w:val="000000" w:themeColor="text1"/>
              <w:lang w:val="zh-CN"/>
              <w14:textFill>
                <w14:solidFill>
                  <w14:schemeClr w14:val="tx1"/>
                </w14:solidFill>
              </w14:textFill>
            </w:rPr>
            <w:t>目</w:t>
          </w:r>
          <w:r>
            <w:rPr>
              <w:rFonts w:hint="eastAsia"/>
              <w:color w:val="000000" w:themeColor="text1"/>
              <w:lang w:val="zh-CN"/>
              <w14:textFill>
                <w14:solidFill>
                  <w14:schemeClr w14:val="tx1"/>
                </w14:solidFill>
              </w14:textFill>
            </w:rPr>
            <w:t xml:space="preserve">  </w:t>
          </w:r>
          <w:r>
            <w:rPr>
              <w:color w:val="000000" w:themeColor="text1"/>
              <w:lang w:val="zh-CN"/>
              <w14:textFill>
                <w14:solidFill>
                  <w14:schemeClr w14:val="tx1"/>
                </w14:solidFill>
              </w14:textFill>
            </w:rPr>
            <w:t>录</w:t>
          </w:r>
        </w:p>
        <w:p>
          <w:pPr>
            <w:rPr>
              <w:lang w:val="zh-CN"/>
            </w:rPr>
          </w:pPr>
        </w:p>
        <w:p>
          <w:pPr>
            <w:pStyle w:val="34"/>
            <w:tabs>
              <w:tab w:val="right" w:leader="dot" w:pos="9638"/>
            </w:tabs>
            <w:rPr>
              <w:rFonts w:hint="eastAsia" w:ascii="宋体" w:hAnsi="宋体" w:eastAsia="宋体" w:cs="宋体"/>
            </w:rPr>
          </w:pPr>
          <w:r>
            <w:rPr>
              <w:rFonts w:hint="eastAsia"/>
            </w:rPr>
            <w:fldChar w:fldCharType="begin"/>
          </w:r>
          <w:r>
            <w:rPr>
              <w:rFonts w:hint="eastAsia"/>
            </w:rPr>
            <w:instrText xml:space="preserve"> TOC \o "1-3" \h \z \u </w:instrText>
          </w:r>
          <w:r>
            <w:rPr>
              <w:rFonts w:hint="eastAsia"/>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_Toc1426 </w:instrText>
          </w:r>
          <w:r>
            <w:rPr>
              <w:rFonts w:hint="eastAsia" w:ascii="宋体" w:hAnsi="宋体" w:eastAsia="宋体" w:cs="宋体"/>
            </w:rPr>
            <w:fldChar w:fldCharType="separate"/>
          </w:r>
          <w:r>
            <w:rPr>
              <w:rFonts w:hint="eastAsia" w:ascii="宋体" w:hAnsi="宋体" w:eastAsia="宋体" w:cs="宋体"/>
            </w:rPr>
            <w:t>第一章  投标邀请</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_Toc1426 \h </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rPr>
            <w:fldChar w:fldCharType="end"/>
          </w:r>
        </w:p>
        <w:p>
          <w:pPr>
            <w:pStyle w:val="34"/>
            <w:tabs>
              <w:tab w:val="right" w:leader="dot" w:pos="9638"/>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_Toc11941 </w:instrText>
          </w:r>
          <w:r>
            <w:rPr>
              <w:rFonts w:hint="eastAsia" w:ascii="宋体" w:hAnsi="宋体" w:eastAsia="宋体" w:cs="宋体"/>
              <w:szCs w:val="21"/>
            </w:rPr>
            <w:fldChar w:fldCharType="separate"/>
          </w:r>
          <w:r>
            <w:rPr>
              <w:rFonts w:hint="eastAsia" w:ascii="宋体" w:hAnsi="宋体" w:eastAsia="宋体" w:cs="宋体"/>
            </w:rPr>
            <w:t>第二章  项目需求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_Toc11941 \h </w:instrText>
          </w:r>
          <w:r>
            <w:rPr>
              <w:rFonts w:hint="eastAsia" w:ascii="宋体" w:hAnsi="宋体" w:eastAsia="宋体" w:cs="宋体"/>
            </w:rPr>
            <w:fldChar w:fldCharType="separate"/>
          </w:r>
          <w:r>
            <w:rPr>
              <w:rFonts w:hint="eastAsia" w:ascii="宋体" w:hAnsi="宋体" w:eastAsia="宋体" w:cs="宋体"/>
            </w:rPr>
            <w:t>9</w:t>
          </w:r>
          <w:r>
            <w:rPr>
              <w:rFonts w:hint="eastAsia" w:ascii="宋体" w:hAnsi="宋体" w:eastAsia="宋体" w:cs="宋体"/>
            </w:rPr>
            <w:fldChar w:fldCharType="end"/>
          </w:r>
          <w:r>
            <w:rPr>
              <w:rFonts w:hint="eastAsia" w:ascii="宋体" w:hAnsi="宋体" w:eastAsia="宋体" w:cs="宋体"/>
              <w:szCs w:val="21"/>
            </w:rPr>
            <w:fldChar w:fldCharType="end"/>
          </w:r>
        </w:p>
        <w:p>
          <w:pPr>
            <w:pStyle w:val="34"/>
            <w:tabs>
              <w:tab w:val="right" w:leader="dot" w:pos="9638"/>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_Toc26248 </w:instrText>
          </w:r>
          <w:r>
            <w:rPr>
              <w:rFonts w:hint="eastAsia" w:ascii="宋体" w:hAnsi="宋体" w:eastAsia="宋体" w:cs="宋体"/>
              <w:szCs w:val="21"/>
            </w:rPr>
            <w:fldChar w:fldCharType="separate"/>
          </w:r>
          <w:r>
            <w:rPr>
              <w:rFonts w:hint="eastAsia" w:ascii="宋体" w:hAnsi="宋体" w:eastAsia="宋体" w:cs="宋体"/>
            </w:rPr>
            <w:t>第三章  投标文件初审</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_Toc26248 \h </w:instrText>
          </w:r>
          <w:r>
            <w:rPr>
              <w:rFonts w:hint="eastAsia" w:ascii="宋体" w:hAnsi="宋体" w:eastAsia="宋体" w:cs="宋体"/>
            </w:rPr>
            <w:fldChar w:fldCharType="separate"/>
          </w:r>
          <w:r>
            <w:rPr>
              <w:rFonts w:hint="eastAsia" w:ascii="宋体" w:hAnsi="宋体" w:eastAsia="宋体" w:cs="宋体"/>
            </w:rPr>
            <w:t>15</w:t>
          </w:r>
          <w:r>
            <w:rPr>
              <w:rFonts w:hint="eastAsia" w:ascii="宋体" w:hAnsi="宋体" w:eastAsia="宋体" w:cs="宋体"/>
            </w:rPr>
            <w:fldChar w:fldCharType="end"/>
          </w:r>
          <w:r>
            <w:rPr>
              <w:rFonts w:hint="eastAsia" w:ascii="宋体" w:hAnsi="宋体" w:eastAsia="宋体" w:cs="宋体"/>
              <w:szCs w:val="21"/>
            </w:rPr>
            <w:fldChar w:fldCharType="end"/>
          </w:r>
        </w:p>
        <w:p>
          <w:pPr>
            <w:pStyle w:val="34"/>
            <w:tabs>
              <w:tab w:val="right" w:leader="dot" w:pos="9638"/>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_Toc18876 </w:instrText>
          </w:r>
          <w:r>
            <w:rPr>
              <w:rFonts w:hint="eastAsia" w:ascii="宋体" w:hAnsi="宋体" w:eastAsia="宋体" w:cs="宋体"/>
              <w:szCs w:val="21"/>
            </w:rPr>
            <w:fldChar w:fldCharType="separate"/>
          </w:r>
          <w:r>
            <w:rPr>
              <w:rFonts w:hint="eastAsia" w:ascii="宋体" w:hAnsi="宋体" w:eastAsia="宋体" w:cs="宋体"/>
            </w:rPr>
            <w:t>第四章  评标方法和标准</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_Toc18876 \h </w:instrText>
          </w:r>
          <w:r>
            <w:rPr>
              <w:rFonts w:hint="eastAsia" w:ascii="宋体" w:hAnsi="宋体" w:eastAsia="宋体" w:cs="宋体"/>
            </w:rPr>
            <w:fldChar w:fldCharType="separate"/>
          </w:r>
          <w:r>
            <w:rPr>
              <w:rFonts w:hint="eastAsia" w:ascii="宋体" w:hAnsi="宋体" w:eastAsia="宋体" w:cs="宋体"/>
            </w:rPr>
            <w:t>16</w:t>
          </w:r>
          <w:r>
            <w:rPr>
              <w:rFonts w:hint="eastAsia" w:ascii="宋体" w:hAnsi="宋体" w:eastAsia="宋体" w:cs="宋体"/>
            </w:rPr>
            <w:fldChar w:fldCharType="end"/>
          </w:r>
          <w:r>
            <w:rPr>
              <w:rFonts w:hint="eastAsia" w:ascii="宋体" w:hAnsi="宋体" w:eastAsia="宋体" w:cs="宋体"/>
              <w:szCs w:val="21"/>
            </w:rPr>
            <w:fldChar w:fldCharType="end"/>
          </w:r>
        </w:p>
        <w:p>
          <w:pPr>
            <w:pStyle w:val="41"/>
            <w:tabs>
              <w:tab w:val="right" w:leader="dot" w:pos="9638"/>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_Toc21239 </w:instrText>
          </w:r>
          <w:r>
            <w:rPr>
              <w:rFonts w:hint="eastAsia" w:ascii="宋体" w:hAnsi="宋体" w:eastAsia="宋体" w:cs="宋体"/>
              <w:szCs w:val="21"/>
            </w:rPr>
            <w:fldChar w:fldCharType="separate"/>
          </w:r>
          <w:r>
            <w:rPr>
              <w:rFonts w:hint="eastAsia" w:ascii="宋体" w:hAnsi="宋体" w:eastAsia="宋体" w:cs="宋体"/>
            </w:rPr>
            <w:t>一、评标方法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_Toc21239 \h </w:instrText>
          </w:r>
          <w:r>
            <w:rPr>
              <w:rFonts w:hint="eastAsia" w:ascii="宋体" w:hAnsi="宋体" w:eastAsia="宋体" w:cs="宋体"/>
            </w:rPr>
            <w:fldChar w:fldCharType="separate"/>
          </w:r>
          <w:r>
            <w:rPr>
              <w:rFonts w:hint="eastAsia" w:ascii="宋体" w:hAnsi="宋体" w:eastAsia="宋体" w:cs="宋体"/>
            </w:rPr>
            <w:t>16</w:t>
          </w:r>
          <w:r>
            <w:rPr>
              <w:rFonts w:hint="eastAsia" w:ascii="宋体" w:hAnsi="宋体" w:eastAsia="宋体" w:cs="宋体"/>
            </w:rPr>
            <w:fldChar w:fldCharType="end"/>
          </w:r>
          <w:r>
            <w:rPr>
              <w:rFonts w:hint="eastAsia" w:ascii="宋体" w:hAnsi="宋体" w:eastAsia="宋体" w:cs="宋体"/>
              <w:szCs w:val="21"/>
            </w:rPr>
            <w:fldChar w:fldCharType="end"/>
          </w:r>
        </w:p>
        <w:p>
          <w:pPr>
            <w:pStyle w:val="41"/>
            <w:tabs>
              <w:tab w:val="right" w:leader="dot" w:pos="9638"/>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_Toc25716 </w:instrText>
          </w:r>
          <w:r>
            <w:rPr>
              <w:rFonts w:hint="eastAsia" w:ascii="宋体" w:hAnsi="宋体" w:eastAsia="宋体" w:cs="宋体"/>
              <w:szCs w:val="21"/>
            </w:rPr>
            <w:fldChar w:fldCharType="separate"/>
          </w:r>
          <w:r>
            <w:rPr>
              <w:rFonts w:hint="eastAsia" w:ascii="宋体" w:hAnsi="宋体" w:eastAsia="宋体" w:cs="宋体"/>
            </w:rPr>
            <w:t>二、评标标准</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_Toc25716 \h </w:instrText>
          </w:r>
          <w:r>
            <w:rPr>
              <w:rFonts w:hint="eastAsia" w:ascii="宋体" w:hAnsi="宋体" w:eastAsia="宋体" w:cs="宋体"/>
            </w:rPr>
            <w:fldChar w:fldCharType="separate"/>
          </w:r>
          <w:r>
            <w:rPr>
              <w:rFonts w:hint="eastAsia" w:ascii="宋体" w:hAnsi="宋体" w:eastAsia="宋体" w:cs="宋体"/>
            </w:rPr>
            <w:t>16</w:t>
          </w:r>
          <w:r>
            <w:rPr>
              <w:rFonts w:hint="eastAsia" w:ascii="宋体" w:hAnsi="宋体" w:eastAsia="宋体" w:cs="宋体"/>
            </w:rPr>
            <w:fldChar w:fldCharType="end"/>
          </w:r>
          <w:r>
            <w:rPr>
              <w:rFonts w:hint="eastAsia" w:ascii="宋体" w:hAnsi="宋体" w:eastAsia="宋体" w:cs="宋体"/>
              <w:szCs w:val="21"/>
            </w:rPr>
            <w:fldChar w:fldCharType="end"/>
          </w:r>
        </w:p>
        <w:p>
          <w:pPr>
            <w:pStyle w:val="41"/>
            <w:tabs>
              <w:tab w:val="right" w:leader="dot" w:pos="9638"/>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_Toc5983 </w:instrText>
          </w:r>
          <w:r>
            <w:rPr>
              <w:rFonts w:hint="eastAsia" w:ascii="宋体" w:hAnsi="宋体" w:eastAsia="宋体" w:cs="宋体"/>
              <w:szCs w:val="21"/>
            </w:rPr>
            <w:fldChar w:fldCharType="separate"/>
          </w:r>
          <w:r>
            <w:rPr>
              <w:rFonts w:hint="eastAsia" w:ascii="宋体" w:hAnsi="宋体" w:eastAsia="宋体" w:cs="宋体"/>
              <w:bCs w:val="0"/>
              <w:szCs w:val="21"/>
            </w:rPr>
            <w:t>备注：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_Toc5983 \h </w:instrText>
          </w:r>
          <w:r>
            <w:rPr>
              <w:rFonts w:hint="eastAsia" w:ascii="宋体" w:hAnsi="宋体" w:eastAsia="宋体" w:cs="宋体"/>
            </w:rPr>
            <w:fldChar w:fldCharType="separate"/>
          </w:r>
          <w:r>
            <w:rPr>
              <w:rFonts w:hint="eastAsia" w:ascii="宋体" w:hAnsi="宋体" w:eastAsia="宋体" w:cs="宋体"/>
            </w:rPr>
            <w:t>19</w:t>
          </w:r>
          <w:r>
            <w:rPr>
              <w:rFonts w:hint="eastAsia" w:ascii="宋体" w:hAnsi="宋体" w:eastAsia="宋体" w:cs="宋体"/>
            </w:rPr>
            <w:fldChar w:fldCharType="end"/>
          </w:r>
          <w:r>
            <w:rPr>
              <w:rFonts w:hint="eastAsia" w:ascii="宋体" w:hAnsi="宋体" w:eastAsia="宋体" w:cs="宋体"/>
              <w:szCs w:val="21"/>
            </w:rPr>
            <w:fldChar w:fldCharType="end"/>
          </w:r>
        </w:p>
        <w:p>
          <w:pPr>
            <w:pStyle w:val="25"/>
            <w:tabs>
              <w:tab w:val="right" w:leader="dot" w:pos="9638"/>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_Toc15270 </w:instrText>
          </w:r>
          <w:r>
            <w:rPr>
              <w:rFonts w:hint="eastAsia" w:ascii="宋体" w:hAnsi="宋体" w:eastAsia="宋体" w:cs="宋体"/>
              <w:szCs w:val="21"/>
            </w:rPr>
            <w:fldChar w:fldCharType="separate"/>
          </w:r>
          <w:r>
            <w:rPr>
              <w:rFonts w:hint="eastAsia" w:ascii="宋体" w:hAnsi="宋体" w:eastAsia="宋体" w:cs="宋体"/>
            </w:rPr>
            <w:t>1、资质证书有效期</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_Toc15270 \h </w:instrText>
          </w:r>
          <w:r>
            <w:rPr>
              <w:rFonts w:hint="eastAsia" w:ascii="宋体" w:hAnsi="宋体" w:eastAsia="宋体" w:cs="宋体"/>
            </w:rPr>
            <w:fldChar w:fldCharType="separate"/>
          </w:r>
          <w:r>
            <w:rPr>
              <w:rFonts w:hint="eastAsia" w:ascii="宋体" w:hAnsi="宋体" w:eastAsia="宋体" w:cs="宋体"/>
            </w:rPr>
            <w:t>19</w:t>
          </w:r>
          <w:r>
            <w:rPr>
              <w:rFonts w:hint="eastAsia" w:ascii="宋体" w:hAnsi="宋体" w:eastAsia="宋体" w:cs="宋体"/>
            </w:rPr>
            <w:fldChar w:fldCharType="end"/>
          </w:r>
          <w:r>
            <w:rPr>
              <w:rFonts w:hint="eastAsia" w:ascii="宋体" w:hAnsi="宋体" w:eastAsia="宋体" w:cs="宋体"/>
              <w:szCs w:val="21"/>
            </w:rPr>
            <w:fldChar w:fldCharType="end"/>
          </w:r>
        </w:p>
        <w:p>
          <w:pPr>
            <w:pStyle w:val="25"/>
            <w:tabs>
              <w:tab w:val="right" w:leader="dot" w:pos="9638"/>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_Toc32299 </w:instrText>
          </w:r>
          <w:r>
            <w:rPr>
              <w:rFonts w:hint="eastAsia" w:ascii="宋体" w:hAnsi="宋体" w:eastAsia="宋体" w:cs="宋体"/>
              <w:szCs w:val="21"/>
            </w:rPr>
            <w:fldChar w:fldCharType="separate"/>
          </w:r>
          <w:r>
            <w:rPr>
              <w:rFonts w:hint="eastAsia" w:ascii="宋体" w:hAnsi="宋体" w:eastAsia="宋体" w:cs="宋体"/>
            </w:rPr>
            <w:t>2、政府采购优惠政策</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_Toc32299 \h </w:instrText>
          </w:r>
          <w:r>
            <w:rPr>
              <w:rFonts w:hint="eastAsia" w:ascii="宋体" w:hAnsi="宋体" w:eastAsia="宋体" w:cs="宋体"/>
            </w:rPr>
            <w:fldChar w:fldCharType="separate"/>
          </w:r>
          <w:r>
            <w:rPr>
              <w:rFonts w:hint="eastAsia" w:ascii="宋体" w:hAnsi="宋体" w:eastAsia="宋体" w:cs="宋体"/>
            </w:rPr>
            <w:t>19</w:t>
          </w:r>
          <w:r>
            <w:rPr>
              <w:rFonts w:hint="eastAsia" w:ascii="宋体" w:hAnsi="宋体" w:eastAsia="宋体" w:cs="宋体"/>
            </w:rPr>
            <w:fldChar w:fldCharType="end"/>
          </w:r>
          <w:r>
            <w:rPr>
              <w:rFonts w:hint="eastAsia" w:ascii="宋体" w:hAnsi="宋体" w:eastAsia="宋体" w:cs="宋体"/>
              <w:szCs w:val="21"/>
            </w:rPr>
            <w:fldChar w:fldCharType="end"/>
          </w:r>
        </w:p>
        <w:p>
          <w:pPr>
            <w:pStyle w:val="34"/>
            <w:tabs>
              <w:tab w:val="right" w:leader="dot" w:pos="9638"/>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_Toc13626 </w:instrText>
          </w:r>
          <w:r>
            <w:rPr>
              <w:rFonts w:hint="eastAsia" w:ascii="宋体" w:hAnsi="宋体" w:eastAsia="宋体" w:cs="宋体"/>
              <w:szCs w:val="21"/>
            </w:rPr>
            <w:fldChar w:fldCharType="separate"/>
          </w:r>
          <w:r>
            <w:rPr>
              <w:rFonts w:hint="eastAsia" w:ascii="宋体" w:hAnsi="宋体" w:eastAsia="宋体" w:cs="宋体"/>
            </w:rPr>
            <w:t>第五章  投标人须知前附表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_Toc13626 \h </w:instrText>
          </w:r>
          <w:r>
            <w:rPr>
              <w:rFonts w:hint="eastAsia" w:ascii="宋体" w:hAnsi="宋体" w:eastAsia="宋体" w:cs="宋体"/>
            </w:rPr>
            <w:fldChar w:fldCharType="separate"/>
          </w:r>
          <w:r>
            <w:rPr>
              <w:rFonts w:hint="eastAsia" w:ascii="宋体" w:hAnsi="宋体" w:eastAsia="宋体" w:cs="宋体"/>
            </w:rPr>
            <w:t>21</w:t>
          </w:r>
          <w:r>
            <w:rPr>
              <w:rFonts w:hint="eastAsia" w:ascii="宋体" w:hAnsi="宋体" w:eastAsia="宋体" w:cs="宋体"/>
            </w:rPr>
            <w:fldChar w:fldCharType="end"/>
          </w:r>
          <w:r>
            <w:rPr>
              <w:rFonts w:hint="eastAsia" w:ascii="宋体" w:hAnsi="宋体" w:eastAsia="宋体" w:cs="宋体"/>
              <w:szCs w:val="21"/>
            </w:rPr>
            <w:fldChar w:fldCharType="end"/>
          </w:r>
        </w:p>
        <w:p>
          <w:pPr>
            <w:pStyle w:val="34"/>
            <w:tabs>
              <w:tab w:val="right" w:leader="dot" w:pos="9638"/>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_Toc11814 </w:instrText>
          </w:r>
          <w:r>
            <w:rPr>
              <w:rFonts w:hint="eastAsia" w:ascii="宋体" w:hAnsi="宋体" w:eastAsia="宋体" w:cs="宋体"/>
              <w:szCs w:val="21"/>
            </w:rPr>
            <w:fldChar w:fldCharType="separate"/>
          </w:r>
          <w:r>
            <w:rPr>
              <w:rFonts w:hint="eastAsia" w:ascii="宋体" w:hAnsi="宋体" w:eastAsia="宋体" w:cs="宋体"/>
            </w:rPr>
            <w:t>第六章  投标人须知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_Toc11814 \h </w:instrText>
          </w:r>
          <w:r>
            <w:rPr>
              <w:rFonts w:hint="eastAsia" w:ascii="宋体" w:hAnsi="宋体" w:eastAsia="宋体" w:cs="宋体"/>
            </w:rPr>
            <w:fldChar w:fldCharType="separate"/>
          </w:r>
          <w:r>
            <w:rPr>
              <w:rFonts w:hint="eastAsia" w:ascii="宋体" w:hAnsi="宋体" w:eastAsia="宋体" w:cs="宋体"/>
            </w:rPr>
            <w:t>22</w:t>
          </w:r>
          <w:r>
            <w:rPr>
              <w:rFonts w:hint="eastAsia" w:ascii="宋体" w:hAnsi="宋体" w:eastAsia="宋体" w:cs="宋体"/>
            </w:rPr>
            <w:fldChar w:fldCharType="end"/>
          </w:r>
          <w:r>
            <w:rPr>
              <w:rFonts w:hint="eastAsia" w:ascii="宋体" w:hAnsi="宋体" w:eastAsia="宋体" w:cs="宋体"/>
              <w:szCs w:val="21"/>
            </w:rPr>
            <w:fldChar w:fldCharType="end"/>
          </w:r>
        </w:p>
        <w:p>
          <w:pPr>
            <w:pStyle w:val="41"/>
            <w:tabs>
              <w:tab w:val="right" w:leader="dot" w:pos="9638"/>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_Toc23372 </w:instrText>
          </w:r>
          <w:r>
            <w:rPr>
              <w:rFonts w:hint="eastAsia" w:ascii="宋体" w:hAnsi="宋体" w:eastAsia="宋体" w:cs="宋体"/>
              <w:szCs w:val="21"/>
            </w:rPr>
            <w:fldChar w:fldCharType="separate"/>
          </w:r>
          <w:r>
            <w:rPr>
              <w:rFonts w:hint="eastAsia" w:ascii="宋体" w:hAnsi="宋体" w:eastAsia="宋体" w:cs="宋体"/>
            </w:rPr>
            <w:t>一、说  明</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_Toc23372 \h </w:instrText>
          </w:r>
          <w:r>
            <w:rPr>
              <w:rFonts w:hint="eastAsia" w:ascii="宋体" w:hAnsi="宋体" w:eastAsia="宋体" w:cs="宋体"/>
            </w:rPr>
            <w:fldChar w:fldCharType="separate"/>
          </w:r>
          <w:r>
            <w:rPr>
              <w:rFonts w:hint="eastAsia" w:ascii="宋体" w:hAnsi="宋体" w:eastAsia="宋体" w:cs="宋体"/>
            </w:rPr>
            <w:t>22</w:t>
          </w:r>
          <w:r>
            <w:rPr>
              <w:rFonts w:hint="eastAsia" w:ascii="宋体" w:hAnsi="宋体" w:eastAsia="宋体" w:cs="宋体"/>
            </w:rPr>
            <w:fldChar w:fldCharType="end"/>
          </w:r>
          <w:r>
            <w:rPr>
              <w:rFonts w:hint="eastAsia" w:ascii="宋体" w:hAnsi="宋体" w:eastAsia="宋体" w:cs="宋体"/>
              <w:szCs w:val="21"/>
            </w:rPr>
            <w:fldChar w:fldCharType="end"/>
          </w:r>
        </w:p>
        <w:p>
          <w:pPr>
            <w:pStyle w:val="41"/>
            <w:tabs>
              <w:tab w:val="right" w:leader="dot" w:pos="9638"/>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_Toc30087 </w:instrText>
          </w:r>
          <w:r>
            <w:rPr>
              <w:rFonts w:hint="eastAsia" w:ascii="宋体" w:hAnsi="宋体" w:eastAsia="宋体" w:cs="宋体"/>
              <w:szCs w:val="21"/>
            </w:rPr>
            <w:fldChar w:fldCharType="separate"/>
          </w:r>
          <w:r>
            <w:rPr>
              <w:rFonts w:hint="eastAsia" w:ascii="宋体" w:hAnsi="宋体" w:eastAsia="宋体" w:cs="宋体"/>
            </w:rPr>
            <w:t>二、招标文件说明</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_Toc30087 \h </w:instrText>
          </w:r>
          <w:r>
            <w:rPr>
              <w:rFonts w:hint="eastAsia" w:ascii="宋体" w:hAnsi="宋体" w:eastAsia="宋体" w:cs="宋体"/>
            </w:rPr>
            <w:fldChar w:fldCharType="separate"/>
          </w:r>
          <w:r>
            <w:rPr>
              <w:rFonts w:hint="eastAsia" w:ascii="宋体" w:hAnsi="宋体" w:eastAsia="宋体" w:cs="宋体"/>
            </w:rPr>
            <w:t>24</w:t>
          </w:r>
          <w:r>
            <w:rPr>
              <w:rFonts w:hint="eastAsia" w:ascii="宋体" w:hAnsi="宋体" w:eastAsia="宋体" w:cs="宋体"/>
            </w:rPr>
            <w:fldChar w:fldCharType="end"/>
          </w:r>
          <w:r>
            <w:rPr>
              <w:rFonts w:hint="eastAsia" w:ascii="宋体" w:hAnsi="宋体" w:eastAsia="宋体" w:cs="宋体"/>
              <w:szCs w:val="21"/>
            </w:rPr>
            <w:fldChar w:fldCharType="end"/>
          </w:r>
        </w:p>
        <w:p>
          <w:pPr>
            <w:pStyle w:val="41"/>
            <w:tabs>
              <w:tab w:val="right" w:leader="dot" w:pos="9638"/>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_Toc17792 </w:instrText>
          </w:r>
          <w:r>
            <w:rPr>
              <w:rFonts w:hint="eastAsia" w:ascii="宋体" w:hAnsi="宋体" w:eastAsia="宋体" w:cs="宋体"/>
              <w:szCs w:val="21"/>
            </w:rPr>
            <w:fldChar w:fldCharType="separate"/>
          </w:r>
          <w:r>
            <w:rPr>
              <w:rFonts w:hint="eastAsia" w:ascii="宋体" w:hAnsi="宋体" w:eastAsia="宋体" w:cs="宋体"/>
            </w:rPr>
            <w:t>三、投标文件的编写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_Toc17792 \h </w:instrText>
          </w:r>
          <w:r>
            <w:rPr>
              <w:rFonts w:hint="eastAsia" w:ascii="宋体" w:hAnsi="宋体" w:eastAsia="宋体" w:cs="宋体"/>
            </w:rPr>
            <w:fldChar w:fldCharType="separate"/>
          </w:r>
          <w:r>
            <w:rPr>
              <w:rFonts w:hint="eastAsia" w:ascii="宋体" w:hAnsi="宋体" w:eastAsia="宋体" w:cs="宋体"/>
            </w:rPr>
            <w:t>25</w:t>
          </w:r>
          <w:r>
            <w:rPr>
              <w:rFonts w:hint="eastAsia" w:ascii="宋体" w:hAnsi="宋体" w:eastAsia="宋体" w:cs="宋体"/>
            </w:rPr>
            <w:fldChar w:fldCharType="end"/>
          </w:r>
          <w:r>
            <w:rPr>
              <w:rFonts w:hint="eastAsia" w:ascii="宋体" w:hAnsi="宋体" w:eastAsia="宋体" w:cs="宋体"/>
              <w:szCs w:val="21"/>
            </w:rPr>
            <w:fldChar w:fldCharType="end"/>
          </w:r>
        </w:p>
        <w:p>
          <w:pPr>
            <w:pStyle w:val="41"/>
            <w:tabs>
              <w:tab w:val="right" w:leader="dot" w:pos="9638"/>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_Toc11913 </w:instrText>
          </w:r>
          <w:r>
            <w:rPr>
              <w:rFonts w:hint="eastAsia" w:ascii="宋体" w:hAnsi="宋体" w:eastAsia="宋体" w:cs="宋体"/>
              <w:szCs w:val="21"/>
            </w:rPr>
            <w:fldChar w:fldCharType="separate"/>
          </w:r>
          <w:r>
            <w:rPr>
              <w:rFonts w:hint="eastAsia" w:ascii="宋体" w:hAnsi="宋体" w:eastAsia="宋体" w:cs="宋体"/>
            </w:rPr>
            <w:t>四、投标文件的递交</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_Toc11913 \h </w:instrText>
          </w:r>
          <w:r>
            <w:rPr>
              <w:rFonts w:hint="eastAsia" w:ascii="宋体" w:hAnsi="宋体" w:eastAsia="宋体" w:cs="宋体"/>
            </w:rPr>
            <w:fldChar w:fldCharType="separate"/>
          </w:r>
          <w:r>
            <w:rPr>
              <w:rFonts w:hint="eastAsia" w:ascii="宋体" w:hAnsi="宋体" w:eastAsia="宋体" w:cs="宋体"/>
            </w:rPr>
            <w:t>27</w:t>
          </w:r>
          <w:r>
            <w:rPr>
              <w:rFonts w:hint="eastAsia" w:ascii="宋体" w:hAnsi="宋体" w:eastAsia="宋体" w:cs="宋体"/>
            </w:rPr>
            <w:fldChar w:fldCharType="end"/>
          </w:r>
          <w:r>
            <w:rPr>
              <w:rFonts w:hint="eastAsia" w:ascii="宋体" w:hAnsi="宋体" w:eastAsia="宋体" w:cs="宋体"/>
              <w:szCs w:val="21"/>
            </w:rPr>
            <w:fldChar w:fldCharType="end"/>
          </w:r>
        </w:p>
        <w:p>
          <w:pPr>
            <w:pStyle w:val="41"/>
            <w:tabs>
              <w:tab w:val="right" w:leader="dot" w:pos="9638"/>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_Toc2491 </w:instrText>
          </w:r>
          <w:r>
            <w:rPr>
              <w:rFonts w:hint="eastAsia" w:ascii="宋体" w:hAnsi="宋体" w:eastAsia="宋体" w:cs="宋体"/>
              <w:szCs w:val="21"/>
            </w:rPr>
            <w:fldChar w:fldCharType="separate"/>
          </w:r>
          <w:r>
            <w:rPr>
              <w:rFonts w:hint="eastAsia" w:ascii="宋体" w:hAnsi="宋体" w:eastAsia="宋体" w:cs="宋体"/>
            </w:rPr>
            <w:t>五、开标和评标</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_Toc2491 \h </w:instrText>
          </w:r>
          <w:r>
            <w:rPr>
              <w:rFonts w:hint="eastAsia" w:ascii="宋体" w:hAnsi="宋体" w:eastAsia="宋体" w:cs="宋体"/>
            </w:rPr>
            <w:fldChar w:fldCharType="separate"/>
          </w:r>
          <w:r>
            <w:rPr>
              <w:rFonts w:hint="eastAsia" w:ascii="宋体" w:hAnsi="宋体" w:eastAsia="宋体" w:cs="宋体"/>
            </w:rPr>
            <w:t>29</w:t>
          </w:r>
          <w:r>
            <w:rPr>
              <w:rFonts w:hint="eastAsia" w:ascii="宋体" w:hAnsi="宋体" w:eastAsia="宋体" w:cs="宋体"/>
            </w:rPr>
            <w:fldChar w:fldCharType="end"/>
          </w:r>
          <w:r>
            <w:rPr>
              <w:rFonts w:hint="eastAsia" w:ascii="宋体" w:hAnsi="宋体" w:eastAsia="宋体" w:cs="宋体"/>
              <w:szCs w:val="21"/>
            </w:rPr>
            <w:fldChar w:fldCharType="end"/>
          </w:r>
        </w:p>
        <w:p>
          <w:pPr>
            <w:pStyle w:val="41"/>
            <w:tabs>
              <w:tab w:val="right" w:leader="dot" w:pos="9638"/>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_Toc4530 </w:instrText>
          </w:r>
          <w:r>
            <w:rPr>
              <w:rFonts w:hint="eastAsia" w:ascii="宋体" w:hAnsi="宋体" w:eastAsia="宋体" w:cs="宋体"/>
              <w:szCs w:val="21"/>
            </w:rPr>
            <w:fldChar w:fldCharType="separate"/>
          </w:r>
          <w:r>
            <w:rPr>
              <w:rFonts w:hint="eastAsia" w:ascii="宋体" w:hAnsi="宋体" w:eastAsia="宋体" w:cs="宋体"/>
            </w:rPr>
            <w:t>六、授予合同</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_Toc4530 \h </w:instrText>
          </w:r>
          <w:r>
            <w:rPr>
              <w:rFonts w:hint="eastAsia" w:ascii="宋体" w:hAnsi="宋体" w:eastAsia="宋体" w:cs="宋体"/>
            </w:rPr>
            <w:fldChar w:fldCharType="separate"/>
          </w:r>
          <w:r>
            <w:rPr>
              <w:rFonts w:hint="eastAsia" w:ascii="宋体" w:hAnsi="宋体" w:eastAsia="宋体" w:cs="宋体"/>
            </w:rPr>
            <w:t>31</w:t>
          </w:r>
          <w:r>
            <w:rPr>
              <w:rFonts w:hint="eastAsia" w:ascii="宋体" w:hAnsi="宋体" w:eastAsia="宋体" w:cs="宋体"/>
            </w:rPr>
            <w:fldChar w:fldCharType="end"/>
          </w:r>
          <w:r>
            <w:rPr>
              <w:rFonts w:hint="eastAsia" w:ascii="宋体" w:hAnsi="宋体" w:eastAsia="宋体" w:cs="宋体"/>
              <w:szCs w:val="21"/>
            </w:rPr>
            <w:fldChar w:fldCharType="end"/>
          </w:r>
        </w:p>
        <w:p>
          <w:pPr>
            <w:pStyle w:val="34"/>
            <w:tabs>
              <w:tab w:val="right" w:leader="dot" w:pos="9638"/>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_Toc22491 </w:instrText>
          </w:r>
          <w:r>
            <w:rPr>
              <w:rFonts w:hint="eastAsia" w:ascii="宋体" w:hAnsi="宋体" w:eastAsia="宋体" w:cs="宋体"/>
              <w:szCs w:val="21"/>
            </w:rPr>
            <w:fldChar w:fldCharType="separate"/>
          </w:r>
          <w:r>
            <w:rPr>
              <w:rFonts w:hint="eastAsia" w:ascii="宋体" w:hAnsi="宋体" w:eastAsia="宋体" w:cs="宋体"/>
            </w:rPr>
            <w:t>第七章  投标文件格式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_Toc22491 \h </w:instrText>
          </w:r>
          <w:r>
            <w:rPr>
              <w:rFonts w:hint="eastAsia" w:ascii="宋体" w:hAnsi="宋体" w:eastAsia="宋体" w:cs="宋体"/>
            </w:rPr>
            <w:fldChar w:fldCharType="separate"/>
          </w:r>
          <w:r>
            <w:rPr>
              <w:rFonts w:hint="eastAsia" w:ascii="宋体" w:hAnsi="宋体" w:eastAsia="宋体" w:cs="宋体"/>
            </w:rPr>
            <w:t>33</w:t>
          </w:r>
          <w:r>
            <w:rPr>
              <w:rFonts w:hint="eastAsia" w:ascii="宋体" w:hAnsi="宋体" w:eastAsia="宋体" w:cs="宋体"/>
            </w:rPr>
            <w:fldChar w:fldCharType="end"/>
          </w:r>
          <w:r>
            <w:rPr>
              <w:rFonts w:hint="eastAsia" w:ascii="宋体" w:hAnsi="宋体" w:eastAsia="宋体" w:cs="宋体"/>
              <w:szCs w:val="21"/>
            </w:rPr>
            <w:fldChar w:fldCharType="end"/>
          </w:r>
        </w:p>
        <w:p>
          <w:pPr>
            <w:pStyle w:val="41"/>
            <w:tabs>
              <w:tab w:val="right" w:leader="dot" w:pos="9638"/>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_Toc11042 </w:instrText>
          </w:r>
          <w:r>
            <w:rPr>
              <w:rFonts w:hint="eastAsia" w:ascii="宋体" w:hAnsi="宋体" w:eastAsia="宋体" w:cs="宋体"/>
              <w:szCs w:val="21"/>
            </w:rPr>
            <w:fldChar w:fldCharType="separate"/>
          </w:r>
          <w:r>
            <w:rPr>
              <w:rFonts w:hint="eastAsia" w:ascii="宋体" w:hAnsi="宋体" w:eastAsia="宋体" w:cs="宋体"/>
            </w:rPr>
            <w:t>投标文件编制说明</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_Toc11042 \h </w:instrText>
          </w:r>
          <w:r>
            <w:rPr>
              <w:rFonts w:hint="eastAsia" w:ascii="宋体" w:hAnsi="宋体" w:eastAsia="宋体" w:cs="宋体"/>
            </w:rPr>
            <w:fldChar w:fldCharType="separate"/>
          </w:r>
          <w:r>
            <w:rPr>
              <w:rFonts w:hint="eastAsia" w:ascii="宋体" w:hAnsi="宋体" w:eastAsia="宋体" w:cs="宋体"/>
            </w:rPr>
            <w:t>33</w:t>
          </w:r>
          <w:r>
            <w:rPr>
              <w:rFonts w:hint="eastAsia" w:ascii="宋体" w:hAnsi="宋体" w:eastAsia="宋体" w:cs="宋体"/>
            </w:rPr>
            <w:fldChar w:fldCharType="end"/>
          </w:r>
          <w:r>
            <w:rPr>
              <w:rFonts w:hint="eastAsia" w:ascii="宋体" w:hAnsi="宋体" w:eastAsia="宋体" w:cs="宋体"/>
              <w:szCs w:val="21"/>
            </w:rPr>
            <w:fldChar w:fldCharType="end"/>
          </w:r>
        </w:p>
        <w:p>
          <w:pPr>
            <w:pStyle w:val="41"/>
            <w:tabs>
              <w:tab w:val="right" w:leader="dot" w:pos="9638"/>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_Toc16438 </w:instrText>
          </w:r>
          <w:r>
            <w:rPr>
              <w:rFonts w:hint="eastAsia" w:ascii="宋体" w:hAnsi="宋体" w:eastAsia="宋体" w:cs="宋体"/>
              <w:szCs w:val="21"/>
            </w:rPr>
            <w:fldChar w:fldCharType="separate"/>
          </w:r>
          <w:r>
            <w:rPr>
              <w:rFonts w:hint="eastAsia" w:ascii="宋体" w:hAnsi="宋体" w:eastAsia="宋体" w:cs="宋体"/>
            </w:rPr>
            <w:t>投标文件格式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_Toc16438 \h </w:instrText>
          </w:r>
          <w:r>
            <w:rPr>
              <w:rFonts w:hint="eastAsia" w:ascii="宋体" w:hAnsi="宋体" w:eastAsia="宋体" w:cs="宋体"/>
            </w:rPr>
            <w:fldChar w:fldCharType="separate"/>
          </w:r>
          <w:r>
            <w:rPr>
              <w:rFonts w:hint="eastAsia" w:ascii="宋体" w:hAnsi="宋体" w:eastAsia="宋体" w:cs="宋体"/>
            </w:rPr>
            <w:t>35</w:t>
          </w:r>
          <w:r>
            <w:rPr>
              <w:rFonts w:hint="eastAsia" w:ascii="宋体" w:hAnsi="宋体" w:eastAsia="宋体" w:cs="宋体"/>
            </w:rPr>
            <w:fldChar w:fldCharType="end"/>
          </w:r>
          <w:r>
            <w:rPr>
              <w:rFonts w:hint="eastAsia" w:ascii="宋体" w:hAnsi="宋体" w:eastAsia="宋体" w:cs="宋体"/>
              <w:szCs w:val="21"/>
            </w:rPr>
            <w:fldChar w:fldCharType="end"/>
          </w:r>
        </w:p>
        <w:p>
          <w:pPr>
            <w:pStyle w:val="41"/>
            <w:tabs>
              <w:tab w:val="right" w:leader="dot" w:pos="9638"/>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_Toc5039 </w:instrText>
          </w:r>
          <w:r>
            <w:rPr>
              <w:rFonts w:hint="eastAsia" w:ascii="宋体" w:hAnsi="宋体" w:eastAsia="宋体" w:cs="宋体"/>
              <w:szCs w:val="21"/>
            </w:rPr>
            <w:fldChar w:fldCharType="separate"/>
          </w:r>
          <w:r>
            <w:rPr>
              <w:rFonts w:hint="eastAsia" w:ascii="宋体" w:hAnsi="宋体" w:eastAsia="宋体" w:cs="宋体"/>
            </w:rPr>
            <w:t>评标指引表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_Toc5039 \h </w:instrText>
          </w:r>
          <w:r>
            <w:rPr>
              <w:rFonts w:hint="eastAsia" w:ascii="宋体" w:hAnsi="宋体" w:eastAsia="宋体" w:cs="宋体"/>
            </w:rPr>
            <w:fldChar w:fldCharType="separate"/>
          </w:r>
          <w:r>
            <w:rPr>
              <w:rFonts w:hint="eastAsia" w:ascii="宋体" w:hAnsi="宋体" w:eastAsia="宋体" w:cs="宋体"/>
            </w:rPr>
            <w:t>36</w:t>
          </w:r>
          <w:r>
            <w:rPr>
              <w:rFonts w:hint="eastAsia" w:ascii="宋体" w:hAnsi="宋体" w:eastAsia="宋体" w:cs="宋体"/>
            </w:rPr>
            <w:fldChar w:fldCharType="end"/>
          </w:r>
          <w:r>
            <w:rPr>
              <w:rFonts w:hint="eastAsia" w:ascii="宋体" w:hAnsi="宋体" w:eastAsia="宋体" w:cs="宋体"/>
              <w:szCs w:val="21"/>
            </w:rPr>
            <w:fldChar w:fldCharType="end"/>
          </w:r>
        </w:p>
        <w:p>
          <w:pPr>
            <w:pStyle w:val="25"/>
            <w:tabs>
              <w:tab w:val="right" w:leader="dot" w:pos="9638"/>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_Toc25302 </w:instrText>
          </w:r>
          <w:r>
            <w:rPr>
              <w:rFonts w:hint="eastAsia" w:ascii="宋体" w:hAnsi="宋体" w:eastAsia="宋体" w:cs="宋体"/>
              <w:szCs w:val="21"/>
            </w:rPr>
            <w:fldChar w:fldCharType="separate"/>
          </w:r>
          <w:r>
            <w:rPr>
              <w:rFonts w:hint="eastAsia" w:ascii="宋体" w:hAnsi="宋体" w:eastAsia="宋体" w:cs="宋体"/>
              <w:kern w:val="0"/>
              <w:szCs w:val="28"/>
            </w:rPr>
            <w:t>股东构成审查表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_Toc25302 \h </w:instrText>
          </w:r>
          <w:r>
            <w:rPr>
              <w:rFonts w:hint="eastAsia" w:ascii="宋体" w:hAnsi="宋体" w:eastAsia="宋体" w:cs="宋体"/>
            </w:rPr>
            <w:fldChar w:fldCharType="separate"/>
          </w:r>
          <w:r>
            <w:rPr>
              <w:rFonts w:hint="eastAsia" w:ascii="宋体" w:hAnsi="宋体" w:eastAsia="宋体" w:cs="宋体"/>
            </w:rPr>
            <w:t>39</w:t>
          </w:r>
          <w:r>
            <w:rPr>
              <w:rFonts w:hint="eastAsia" w:ascii="宋体" w:hAnsi="宋体" w:eastAsia="宋体" w:cs="宋体"/>
            </w:rPr>
            <w:fldChar w:fldCharType="end"/>
          </w:r>
          <w:r>
            <w:rPr>
              <w:rFonts w:hint="eastAsia" w:ascii="宋体" w:hAnsi="宋体" w:eastAsia="宋体" w:cs="宋体"/>
              <w:szCs w:val="21"/>
            </w:rPr>
            <w:fldChar w:fldCharType="end"/>
          </w:r>
        </w:p>
        <w:p>
          <w:pPr>
            <w:pStyle w:val="34"/>
            <w:tabs>
              <w:tab w:val="right" w:leader="dot" w:pos="9638"/>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_Toc21402 </w:instrText>
          </w:r>
          <w:r>
            <w:rPr>
              <w:rFonts w:hint="eastAsia" w:ascii="宋体" w:hAnsi="宋体" w:eastAsia="宋体" w:cs="宋体"/>
              <w:szCs w:val="21"/>
            </w:rPr>
            <w:fldChar w:fldCharType="separate"/>
          </w:r>
          <w:r>
            <w:rPr>
              <w:rFonts w:hint="eastAsia" w:ascii="宋体" w:hAnsi="宋体" w:eastAsia="宋体" w:cs="宋体"/>
            </w:rPr>
            <w:t>第八章  合同条款</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_Toc21402 \h </w:instrText>
          </w:r>
          <w:r>
            <w:rPr>
              <w:rFonts w:hint="eastAsia" w:ascii="宋体" w:hAnsi="宋体" w:eastAsia="宋体" w:cs="宋体"/>
            </w:rPr>
            <w:fldChar w:fldCharType="separate"/>
          </w:r>
          <w:r>
            <w:rPr>
              <w:rFonts w:hint="eastAsia" w:ascii="宋体" w:hAnsi="宋体" w:eastAsia="宋体" w:cs="宋体"/>
            </w:rPr>
            <w:t>55</w:t>
          </w:r>
          <w:r>
            <w:rPr>
              <w:rFonts w:hint="eastAsia" w:ascii="宋体" w:hAnsi="宋体" w:eastAsia="宋体" w:cs="宋体"/>
            </w:rPr>
            <w:fldChar w:fldCharType="end"/>
          </w:r>
          <w:r>
            <w:rPr>
              <w:rFonts w:hint="eastAsia" w:ascii="宋体" w:hAnsi="宋体" w:eastAsia="宋体" w:cs="宋体"/>
              <w:szCs w:val="21"/>
            </w:rPr>
            <w:fldChar w:fldCharType="end"/>
          </w:r>
        </w:p>
        <w:p>
          <w:pPr>
            <w:pStyle w:val="34"/>
            <w:tabs>
              <w:tab w:val="right" w:leader="dot" w:pos="9638"/>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_Toc30160 </w:instrText>
          </w:r>
          <w:r>
            <w:rPr>
              <w:rFonts w:hint="eastAsia" w:ascii="宋体" w:hAnsi="宋体" w:eastAsia="宋体" w:cs="宋体"/>
              <w:szCs w:val="21"/>
            </w:rPr>
            <w:fldChar w:fldCharType="separate"/>
          </w:r>
          <w:r>
            <w:rPr>
              <w:rFonts w:hint="eastAsia" w:ascii="宋体" w:hAnsi="宋体" w:eastAsia="宋体" w:cs="宋体"/>
            </w:rPr>
            <w:t>第九章  附件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_Toc30160 \h </w:instrText>
          </w:r>
          <w:r>
            <w:rPr>
              <w:rFonts w:hint="eastAsia" w:ascii="宋体" w:hAnsi="宋体" w:eastAsia="宋体" w:cs="宋体"/>
            </w:rPr>
            <w:fldChar w:fldCharType="separate"/>
          </w:r>
          <w:r>
            <w:rPr>
              <w:rFonts w:hint="eastAsia" w:ascii="宋体" w:hAnsi="宋体" w:eastAsia="宋体" w:cs="宋体"/>
            </w:rPr>
            <w:t>58</w:t>
          </w:r>
          <w:r>
            <w:rPr>
              <w:rFonts w:hint="eastAsia" w:ascii="宋体" w:hAnsi="宋体" w:eastAsia="宋体" w:cs="宋体"/>
            </w:rPr>
            <w:fldChar w:fldCharType="end"/>
          </w:r>
          <w:r>
            <w:rPr>
              <w:rFonts w:hint="eastAsia" w:ascii="宋体" w:hAnsi="宋体" w:eastAsia="宋体" w:cs="宋体"/>
              <w:szCs w:val="21"/>
            </w:rPr>
            <w:fldChar w:fldCharType="end"/>
          </w:r>
        </w:p>
        <w:p>
          <w:pPr>
            <w:pStyle w:val="25"/>
            <w:tabs>
              <w:tab w:val="right" w:leader="dot" w:pos="9638"/>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_Toc17434 </w:instrText>
          </w:r>
          <w:r>
            <w:rPr>
              <w:rFonts w:hint="eastAsia" w:ascii="宋体" w:hAnsi="宋体" w:eastAsia="宋体" w:cs="宋体"/>
              <w:szCs w:val="21"/>
            </w:rPr>
            <w:fldChar w:fldCharType="separate"/>
          </w:r>
          <w:r>
            <w:rPr>
              <w:rFonts w:hint="eastAsia" w:ascii="宋体" w:hAnsi="宋体" w:eastAsia="宋体" w:cs="宋体"/>
            </w:rPr>
            <w:t>一、财政部 工业和信息化部关于印发《政府采购促进中小企业发展管理办法》的通知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_Toc17434 \h </w:instrText>
          </w:r>
          <w:r>
            <w:rPr>
              <w:rFonts w:hint="eastAsia" w:ascii="宋体" w:hAnsi="宋体" w:eastAsia="宋体" w:cs="宋体"/>
            </w:rPr>
            <w:fldChar w:fldCharType="separate"/>
          </w:r>
          <w:r>
            <w:rPr>
              <w:rFonts w:hint="eastAsia" w:ascii="宋体" w:hAnsi="宋体" w:eastAsia="宋体" w:cs="宋体"/>
            </w:rPr>
            <w:t>58</w:t>
          </w:r>
          <w:r>
            <w:rPr>
              <w:rFonts w:hint="eastAsia" w:ascii="宋体" w:hAnsi="宋体" w:eastAsia="宋体" w:cs="宋体"/>
            </w:rPr>
            <w:fldChar w:fldCharType="end"/>
          </w:r>
          <w:r>
            <w:rPr>
              <w:rFonts w:hint="eastAsia" w:ascii="宋体" w:hAnsi="宋体" w:eastAsia="宋体" w:cs="宋体"/>
              <w:szCs w:val="21"/>
            </w:rPr>
            <w:fldChar w:fldCharType="end"/>
          </w:r>
        </w:p>
        <w:p>
          <w:pPr>
            <w:pStyle w:val="25"/>
            <w:tabs>
              <w:tab w:val="right" w:leader="dot" w:pos="9638"/>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_Toc17197 </w:instrText>
          </w:r>
          <w:r>
            <w:rPr>
              <w:rFonts w:hint="eastAsia" w:ascii="宋体" w:hAnsi="宋体" w:eastAsia="宋体" w:cs="宋体"/>
              <w:szCs w:val="21"/>
            </w:rPr>
            <w:fldChar w:fldCharType="separate"/>
          </w:r>
          <w:r>
            <w:rPr>
              <w:rFonts w:hint="eastAsia" w:ascii="宋体" w:hAnsi="宋体" w:eastAsia="宋体" w:cs="宋体"/>
            </w:rPr>
            <w:t>二、关于印发中小企业划型标准规定的通知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_Toc17197 \h </w:instrText>
          </w:r>
          <w:r>
            <w:rPr>
              <w:rFonts w:hint="eastAsia" w:ascii="宋体" w:hAnsi="宋体" w:eastAsia="宋体" w:cs="宋体"/>
            </w:rPr>
            <w:fldChar w:fldCharType="separate"/>
          </w:r>
          <w:r>
            <w:rPr>
              <w:rFonts w:hint="eastAsia" w:ascii="宋体" w:hAnsi="宋体" w:eastAsia="宋体" w:cs="宋体"/>
            </w:rPr>
            <w:t>62</w:t>
          </w:r>
          <w:r>
            <w:rPr>
              <w:rFonts w:hint="eastAsia" w:ascii="宋体" w:hAnsi="宋体" w:eastAsia="宋体" w:cs="宋体"/>
            </w:rPr>
            <w:fldChar w:fldCharType="end"/>
          </w:r>
          <w:r>
            <w:rPr>
              <w:rFonts w:hint="eastAsia" w:ascii="宋体" w:hAnsi="宋体" w:eastAsia="宋体" w:cs="宋体"/>
              <w:szCs w:val="21"/>
            </w:rPr>
            <w:fldChar w:fldCharType="end"/>
          </w:r>
        </w:p>
        <w:p>
          <w:pPr>
            <w:pStyle w:val="25"/>
            <w:tabs>
              <w:tab w:val="right" w:leader="dot" w:pos="9638"/>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_Toc11794 </w:instrText>
          </w:r>
          <w:r>
            <w:rPr>
              <w:rFonts w:hint="eastAsia" w:ascii="宋体" w:hAnsi="宋体" w:eastAsia="宋体" w:cs="宋体"/>
              <w:szCs w:val="21"/>
            </w:rPr>
            <w:fldChar w:fldCharType="separate"/>
          </w:r>
          <w:r>
            <w:rPr>
              <w:rFonts w:hint="eastAsia" w:ascii="宋体" w:hAnsi="宋体" w:eastAsia="宋体" w:cs="宋体"/>
              <w:bCs w:val="0"/>
            </w:rPr>
            <w:t>三、国家统计局关于印发《统计上大中小微型企业划分办法 （2017）》的通知 </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_Toc11794 \h </w:instrText>
          </w:r>
          <w:r>
            <w:rPr>
              <w:rFonts w:hint="eastAsia" w:ascii="宋体" w:hAnsi="宋体" w:eastAsia="宋体" w:cs="宋体"/>
            </w:rPr>
            <w:fldChar w:fldCharType="separate"/>
          </w:r>
          <w:r>
            <w:rPr>
              <w:rFonts w:hint="eastAsia" w:ascii="宋体" w:hAnsi="宋体" w:eastAsia="宋体" w:cs="宋体"/>
            </w:rPr>
            <w:t>65</w:t>
          </w:r>
          <w:r>
            <w:rPr>
              <w:rFonts w:hint="eastAsia" w:ascii="宋体" w:hAnsi="宋体" w:eastAsia="宋体" w:cs="宋体"/>
            </w:rPr>
            <w:fldChar w:fldCharType="end"/>
          </w:r>
          <w:r>
            <w:rPr>
              <w:rFonts w:hint="eastAsia" w:ascii="宋体" w:hAnsi="宋体" w:eastAsia="宋体" w:cs="宋体"/>
              <w:szCs w:val="21"/>
            </w:rPr>
            <w:fldChar w:fldCharType="end"/>
          </w:r>
        </w:p>
        <w:p>
          <w:pPr>
            <w:pStyle w:val="25"/>
            <w:tabs>
              <w:tab w:val="right" w:leader="dot" w:pos="9638"/>
            </w:tabs>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_Toc826 </w:instrText>
          </w:r>
          <w:r>
            <w:rPr>
              <w:rFonts w:hint="eastAsia" w:ascii="宋体" w:hAnsi="宋体" w:eastAsia="宋体" w:cs="宋体"/>
              <w:szCs w:val="21"/>
            </w:rPr>
            <w:fldChar w:fldCharType="separate"/>
          </w:r>
          <w:r>
            <w:rPr>
              <w:rFonts w:hint="eastAsia" w:ascii="宋体" w:hAnsi="宋体" w:eastAsia="宋体" w:cs="宋体"/>
            </w:rPr>
            <w:t>四、财政部 民政部 中国残疾人联合会关于促进残疾人就业 政府采购政策的通知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_Toc826 \h </w:instrText>
          </w:r>
          <w:r>
            <w:rPr>
              <w:rFonts w:hint="eastAsia" w:ascii="宋体" w:hAnsi="宋体" w:eastAsia="宋体" w:cs="宋体"/>
            </w:rPr>
            <w:fldChar w:fldCharType="separate"/>
          </w:r>
          <w:r>
            <w:rPr>
              <w:rFonts w:hint="eastAsia" w:ascii="宋体" w:hAnsi="宋体" w:eastAsia="宋体" w:cs="宋体"/>
            </w:rPr>
            <w:t>68</w:t>
          </w:r>
          <w:r>
            <w:rPr>
              <w:rFonts w:hint="eastAsia" w:ascii="宋体" w:hAnsi="宋体" w:eastAsia="宋体" w:cs="宋体"/>
            </w:rPr>
            <w:fldChar w:fldCharType="end"/>
          </w:r>
          <w:r>
            <w:rPr>
              <w:rFonts w:hint="eastAsia" w:ascii="宋体" w:hAnsi="宋体" w:eastAsia="宋体" w:cs="宋体"/>
              <w:szCs w:val="21"/>
            </w:rPr>
            <w:fldChar w:fldCharType="end"/>
          </w:r>
        </w:p>
        <w:p>
          <w:pPr>
            <w:spacing w:line="360" w:lineRule="exact"/>
            <w:rPr>
              <w:rFonts w:ascii="宋体" w:hAnsi="宋体" w:cs="宋体"/>
              <w:szCs w:val="21"/>
            </w:rPr>
          </w:pPr>
          <w:r>
            <w:rPr>
              <w:rFonts w:hint="eastAsia" w:ascii="宋体" w:hAnsi="宋体" w:cs="宋体"/>
              <w:szCs w:val="21"/>
            </w:rPr>
            <w:fldChar w:fldCharType="end"/>
          </w:r>
        </w:p>
      </w:sdtContent>
    </w:sdt>
    <w:p>
      <w:pPr>
        <w:widowControl/>
        <w:jc w:val="left"/>
      </w:pPr>
      <w:r>
        <w:br w:type="page"/>
      </w:r>
    </w:p>
    <w:p/>
    <w:p>
      <w:pPr>
        <w:pStyle w:val="3"/>
      </w:pPr>
      <w:bookmarkStart w:id="0" w:name="_Toc1426"/>
      <w:r>
        <w:rPr>
          <w:rFonts w:hint="eastAsia"/>
        </w:rPr>
        <w:t>第一章  投标邀请</w:t>
      </w:r>
      <w:bookmarkEnd w:id="0"/>
    </w:p>
    <w:p>
      <w:pPr>
        <w:adjustRightInd w:val="0"/>
        <w:snapToGrid w:val="0"/>
        <w:spacing w:line="360" w:lineRule="auto"/>
        <w:ind w:firstLine="422" w:firstLineChars="200"/>
        <w:jc w:val="left"/>
        <w:rPr>
          <w:rFonts w:ascii="宋体" w:hAnsi="宋体" w:cs="Arial Unicode MS"/>
          <w:snapToGrid w:val="0"/>
          <w:kern w:val="0"/>
          <w:szCs w:val="21"/>
        </w:rPr>
      </w:pPr>
      <w:r>
        <w:rPr>
          <w:rFonts w:hint="eastAsia" w:ascii="宋体" w:hAnsi="宋体" w:cs="Arial Unicode MS"/>
          <w:b/>
          <w:bCs/>
          <w:snapToGrid w:val="0"/>
          <w:kern w:val="0"/>
          <w:szCs w:val="21"/>
        </w:rPr>
        <w:t>项目概况</w:t>
      </w:r>
    </w:p>
    <w:p>
      <w:pPr>
        <w:adjustRightInd w:val="0"/>
        <w:snapToGrid w:val="0"/>
        <w:spacing w:line="360" w:lineRule="auto"/>
        <w:ind w:firstLine="420" w:firstLineChars="200"/>
        <w:jc w:val="left"/>
        <w:rPr>
          <w:rFonts w:ascii="宋体" w:hAnsi="宋体" w:cs="Arial Unicode MS"/>
          <w:snapToGrid w:val="0"/>
          <w:kern w:val="0"/>
          <w:szCs w:val="21"/>
        </w:rPr>
      </w:pPr>
      <w:r>
        <w:rPr>
          <w:rFonts w:hint="eastAsia" w:ascii="宋体" w:hAnsi="宋体" w:cs="Arial Unicode MS"/>
          <w:snapToGrid w:val="0"/>
          <w:kern w:val="0"/>
          <w:szCs w:val="21"/>
          <w:u w:val="single"/>
        </w:rPr>
        <w:t>龙岗区耳鼻咽喉医院信息系统软件建设维护服务项目</w:t>
      </w:r>
      <w:r>
        <w:rPr>
          <w:rFonts w:hint="eastAsia" w:ascii="宋体" w:hAnsi="宋体" w:cs="Arial Unicode MS"/>
          <w:snapToGrid w:val="0"/>
          <w:kern w:val="0"/>
          <w:szCs w:val="21"/>
        </w:rPr>
        <w:t>的潜在投标人应在</w:t>
      </w:r>
      <w:r>
        <w:rPr>
          <w:rFonts w:hint="eastAsia" w:ascii="宋体" w:hAnsi="宋体" w:cs="Arial Unicode MS"/>
          <w:snapToGrid w:val="0"/>
          <w:kern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highlight w:val="none"/>
          <w:u w:val="single"/>
        </w:rPr>
        <w:t>202</w:t>
      </w:r>
      <w:r>
        <w:rPr>
          <w:rFonts w:ascii="宋体" w:hAnsi="宋体" w:cs="Arial Unicode MS"/>
          <w:snapToGrid w:val="0"/>
          <w:kern w:val="0"/>
          <w:szCs w:val="21"/>
          <w:highlight w:val="none"/>
          <w:u w:val="single"/>
        </w:rPr>
        <w:t>2</w:t>
      </w:r>
      <w:r>
        <w:rPr>
          <w:rFonts w:hint="eastAsia" w:ascii="宋体" w:hAnsi="宋体" w:cs="Arial Unicode MS"/>
          <w:snapToGrid w:val="0"/>
          <w:kern w:val="0"/>
          <w:szCs w:val="21"/>
          <w:highlight w:val="none"/>
          <w:u w:val="single"/>
        </w:rPr>
        <w:t>年0</w:t>
      </w:r>
      <w:r>
        <w:rPr>
          <w:rFonts w:ascii="宋体" w:hAnsi="宋体" w:cs="Arial Unicode MS"/>
          <w:snapToGrid w:val="0"/>
          <w:kern w:val="0"/>
          <w:szCs w:val="21"/>
          <w:highlight w:val="none"/>
          <w:u w:val="single"/>
        </w:rPr>
        <w:t>1</w:t>
      </w:r>
      <w:r>
        <w:rPr>
          <w:rFonts w:hint="eastAsia" w:ascii="宋体" w:hAnsi="宋体" w:cs="Arial Unicode MS"/>
          <w:snapToGrid w:val="0"/>
          <w:kern w:val="0"/>
          <w:szCs w:val="21"/>
          <w:highlight w:val="none"/>
          <w:u w:val="single"/>
        </w:rPr>
        <w:t>月</w:t>
      </w:r>
      <w:r>
        <w:rPr>
          <w:rFonts w:hint="eastAsia" w:ascii="宋体" w:hAnsi="宋体" w:cs="Arial Unicode MS"/>
          <w:snapToGrid w:val="0"/>
          <w:kern w:val="0"/>
          <w:szCs w:val="21"/>
          <w:highlight w:val="none"/>
          <w:u w:val="single"/>
          <w:lang w:val="en-US" w:eastAsia="zh-CN"/>
        </w:rPr>
        <w:t>11</w:t>
      </w:r>
      <w:r>
        <w:rPr>
          <w:rFonts w:hint="eastAsia" w:ascii="宋体" w:hAnsi="宋体" w:cs="Arial Unicode MS"/>
          <w:snapToGrid w:val="0"/>
          <w:kern w:val="0"/>
          <w:szCs w:val="21"/>
          <w:highlight w:val="none"/>
          <w:u w:val="single"/>
        </w:rPr>
        <w:t>日</w:t>
      </w:r>
      <w:r>
        <w:rPr>
          <w:rFonts w:hint="eastAsia" w:ascii="宋体" w:hAnsi="宋体" w:cs="Arial Unicode MS"/>
          <w:snapToGrid w:val="0"/>
          <w:kern w:val="0"/>
          <w:szCs w:val="21"/>
          <w:highlight w:val="none"/>
          <w:u w:val="single"/>
          <w:lang w:val="en-US" w:eastAsia="zh-CN"/>
        </w:rPr>
        <w:t>14</w:t>
      </w:r>
      <w:r>
        <w:rPr>
          <w:rFonts w:hint="eastAsia" w:ascii="宋体" w:hAnsi="宋体" w:cs="Arial Unicode MS"/>
          <w:snapToGrid w:val="0"/>
          <w:kern w:val="0"/>
          <w:szCs w:val="21"/>
          <w:highlight w:val="none"/>
          <w:u w:val="single"/>
        </w:rPr>
        <w:t>点</w:t>
      </w:r>
      <w:r>
        <w:rPr>
          <w:rFonts w:hint="eastAsia" w:ascii="宋体" w:hAnsi="宋体" w:cs="Arial Unicode MS"/>
          <w:snapToGrid w:val="0"/>
          <w:kern w:val="0"/>
          <w:szCs w:val="21"/>
          <w:highlight w:val="none"/>
          <w:u w:val="single"/>
          <w:lang w:val="en-US" w:eastAsia="zh-CN"/>
        </w:rPr>
        <w:t>30</w:t>
      </w:r>
      <w:r>
        <w:rPr>
          <w:rFonts w:hint="eastAsia" w:ascii="宋体" w:hAnsi="宋体" w:cs="Arial Unicode MS"/>
          <w:snapToGrid w:val="0"/>
          <w:kern w:val="0"/>
          <w:szCs w:val="21"/>
          <w:highlight w:val="none"/>
          <w:u w:val="single"/>
        </w:rPr>
        <w:t>分</w:t>
      </w:r>
      <w:r>
        <w:rPr>
          <w:rFonts w:hint="eastAsia" w:ascii="宋体" w:hAnsi="宋体" w:cs="Arial Unicode MS"/>
          <w:snapToGrid w:val="0"/>
          <w:kern w:val="0"/>
          <w:szCs w:val="21"/>
        </w:rPr>
        <w:t>（北京时间）前递交投标文件。</w:t>
      </w:r>
    </w:p>
    <w:p>
      <w:pPr>
        <w:adjustRightInd w:val="0"/>
        <w:snapToGrid w:val="0"/>
        <w:spacing w:line="360" w:lineRule="auto"/>
        <w:ind w:firstLine="420" w:firstLineChars="200"/>
        <w:jc w:val="left"/>
        <w:rPr>
          <w:rFonts w:ascii="宋体" w:hAnsi="宋体" w:cs="Arial Unicode MS"/>
          <w:snapToGrid w:val="0"/>
          <w:kern w:val="0"/>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1、项目编号：SZZZ2021-QC0380</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2、项目名称：龙岗区耳鼻咽喉医院信息系统软件建设维护服务项目</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rPr>
        <w:t xml:space="preserve"> 11.5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u w:val="single"/>
        </w:rPr>
        <w:t xml:space="preserve"> 11.5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9050"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682"/>
        <w:gridCol w:w="3056"/>
        <w:gridCol w:w="682"/>
        <w:gridCol w:w="682"/>
        <w:gridCol w:w="2553"/>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682" w:type="dxa"/>
            <w:shd w:val="clear" w:color="auto" w:fill="ABCDEF"/>
            <w:vAlign w:val="center"/>
          </w:tcPr>
          <w:p>
            <w:pPr>
              <w:pStyle w:val="45"/>
              <w:spacing w:before="0" w:beforeAutospacing="0" w:after="0" w:afterAutospacing="0" w:line="360" w:lineRule="auto"/>
              <w:jc w:val="center"/>
              <w:rPr>
                <w:sz w:val="21"/>
              </w:rPr>
            </w:pPr>
            <w:r>
              <w:rPr>
                <w:rFonts w:hint="eastAsia"/>
                <w:sz w:val="21"/>
              </w:rPr>
              <w:t>序号</w:t>
            </w:r>
          </w:p>
        </w:tc>
        <w:tc>
          <w:tcPr>
            <w:tcW w:w="3056" w:type="dxa"/>
            <w:shd w:val="clear" w:color="auto" w:fill="ABCDEF"/>
            <w:vAlign w:val="center"/>
          </w:tcPr>
          <w:p>
            <w:pPr>
              <w:pStyle w:val="45"/>
              <w:spacing w:line="360" w:lineRule="auto"/>
              <w:jc w:val="center"/>
              <w:rPr>
                <w:sz w:val="21"/>
              </w:rPr>
            </w:pPr>
            <w:r>
              <w:rPr>
                <w:sz w:val="21"/>
              </w:rPr>
              <w:t>标的名称</w:t>
            </w:r>
          </w:p>
        </w:tc>
        <w:tc>
          <w:tcPr>
            <w:tcW w:w="682" w:type="dxa"/>
            <w:shd w:val="clear" w:color="auto" w:fill="ABCDEF"/>
            <w:vAlign w:val="center"/>
          </w:tcPr>
          <w:p>
            <w:pPr>
              <w:pStyle w:val="45"/>
              <w:spacing w:before="0" w:beforeAutospacing="0" w:after="0" w:afterAutospacing="0" w:line="360" w:lineRule="auto"/>
              <w:jc w:val="center"/>
              <w:rPr>
                <w:sz w:val="21"/>
              </w:rPr>
            </w:pPr>
            <w:r>
              <w:rPr>
                <w:sz w:val="21"/>
              </w:rPr>
              <w:t>数量</w:t>
            </w:r>
          </w:p>
        </w:tc>
        <w:tc>
          <w:tcPr>
            <w:tcW w:w="682" w:type="dxa"/>
            <w:shd w:val="clear" w:color="auto" w:fill="ABCDEF"/>
            <w:vAlign w:val="center"/>
          </w:tcPr>
          <w:p>
            <w:pPr>
              <w:pStyle w:val="45"/>
              <w:spacing w:before="0" w:beforeAutospacing="0" w:after="0" w:afterAutospacing="0" w:line="360" w:lineRule="auto"/>
              <w:jc w:val="center"/>
              <w:rPr>
                <w:sz w:val="21"/>
              </w:rPr>
            </w:pPr>
            <w:r>
              <w:rPr>
                <w:sz w:val="21"/>
              </w:rPr>
              <w:t>单位</w:t>
            </w:r>
          </w:p>
        </w:tc>
        <w:tc>
          <w:tcPr>
            <w:tcW w:w="2553" w:type="dxa"/>
            <w:shd w:val="clear" w:color="auto" w:fill="ABCDEF"/>
            <w:vAlign w:val="center"/>
          </w:tcPr>
          <w:p>
            <w:pPr>
              <w:pStyle w:val="45"/>
              <w:spacing w:before="0" w:beforeAutospacing="0" w:after="0" w:afterAutospacing="0" w:line="360" w:lineRule="auto"/>
              <w:jc w:val="center"/>
              <w:rPr>
                <w:sz w:val="21"/>
              </w:rPr>
            </w:pPr>
            <w:r>
              <w:rPr>
                <w:rFonts w:hint="eastAsia"/>
                <w:sz w:val="21"/>
              </w:rPr>
              <w:t>简要技术需求或服务要求</w:t>
            </w:r>
          </w:p>
        </w:tc>
        <w:tc>
          <w:tcPr>
            <w:tcW w:w="1395" w:type="dxa"/>
            <w:shd w:val="clear" w:color="auto" w:fill="ABCDEF"/>
            <w:vAlign w:val="center"/>
          </w:tcPr>
          <w:p>
            <w:pPr>
              <w:pStyle w:val="45"/>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981" w:hRule="atLeast"/>
        </w:trPr>
        <w:tc>
          <w:tcPr>
            <w:tcW w:w="682"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3056" w:type="dxa"/>
            <w:shd w:val="clear" w:color="auto" w:fill="auto"/>
            <w:vAlign w:val="center"/>
          </w:tcPr>
          <w:p>
            <w:pPr>
              <w:pStyle w:val="45"/>
              <w:spacing w:line="360" w:lineRule="auto"/>
              <w:jc w:val="center"/>
              <w:rPr>
                <w:rFonts w:asciiTheme="minorEastAsia" w:hAnsiTheme="minorEastAsia" w:eastAsiaTheme="minorEastAsia"/>
                <w:sz w:val="21"/>
              </w:rPr>
            </w:pPr>
            <w:r>
              <w:rPr>
                <w:rFonts w:hint="eastAsia" w:ascii="宋体" w:hAnsi="宋体"/>
                <w:snapToGrid w:val="0"/>
                <w:sz w:val="21"/>
                <w:szCs w:val="21"/>
              </w:rPr>
              <w:t>龙岗区耳鼻咽喉医院信息系统软件建设维护服务项目</w:t>
            </w:r>
          </w:p>
        </w:tc>
        <w:tc>
          <w:tcPr>
            <w:tcW w:w="682"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682"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项</w:t>
            </w:r>
          </w:p>
        </w:tc>
        <w:tc>
          <w:tcPr>
            <w:tcW w:w="2553"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w:t>
            </w:r>
          </w:p>
        </w:tc>
        <w:tc>
          <w:tcPr>
            <w:tcW w:w="1395" w:type="dxa"/>
            <w:shd w:val="clear" w:color="auto" w:fill="auto"/>
            <w:vAlign w:val="center"/>
          </w:tcPr>
          <w:p>
            <w:pPr>
              <w:widowControl/>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3"/>
        <w:adjustRightInd w:val="0"/>
        <w:snapToGrid w:val="0"/>
        <w:spacing w:before="156" w:beforeLines="50" w:beforeAutospacing="0" w:after="0" w:afterAutospacing="0" w:line="360" w:lineRule="auto"/>
        <w:ind w:left="420" w:leftChars="200"/>
        <w:rPr>
          <w:rFonts w:ascii="宋体" w:hAnsi="宋体" w:eastAsia="宋体"/>
          <w:snapToGrid w:val="0"/>
          <w:color w:val="auto"/>
          <w:sz w:val="21"/>
          <w:szCs w:val="21"/>
        </w:rPr>
      </w:pPr>
      <w:r>
        <w:rPr>
          <w:rFonts w:hint="eastAsia" w:ascii="宋体" w:hAnsi="宋体" w:eastAsia="宋体"/>
          <w:snapToGrid w:val="0"/>
          <w:color w:val="auto"/>
          <w:sz w:val="21"/>
          <w:szCs w:val="21"/>
        </w:rPr>
        <w:t>7、服务期限：自合同签订之日起一年。</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3"/>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r>
        <w:rPr>
          <w:rFonts w:asciiTheme="minorEastAsia" w:hAnsiTheme="minorEastAsia" w:eastAsiaTheme="minorEastAsia"/>
          <w:snapToGrid w:val="0"/>
          <w:color w:val="auto"/>
          <w:sz w:val="21"/>
        </w:rPr>
        <w:t xml:space="preserve"> </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（1）参与本项目投标前三年内，在经营活动中没有重大违法记录（须按本项目投标文件格式要求提供《政府采购投标及履约承诺函》加盖投标人公章）；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单位负责人为同一人或者存在直接控股、管理关系的不同供应商，不得参加同一合同项下的政府采购活动（须按本项目投标文件格式要求提供《股东构成审查表》和《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（5）本项目不接受联合体投标，不允许分包或转包。</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highlight w:val="none"/>
          <w:u w:val="single"/>
        </w:rPr>
        <w:t>2021年12月</w:t>
      </w:r>
      <w:r>
        <w:rPr>
          <w:rFonts w:hint="eastAsia" w:ascii="宋体" w:hAnsi="宋体" w:eastAsia="宋体"/>
          <w:snapToGrid w:val="0"/>
          <w:color w:val="auto"/>
          <w:sz w:val="21"/>
          <w:szCs w:val="21"/>
          <w:highlight w:val="none"/>
          <w:u w:val="single"/>
          <w:lang w:val="en-US" w:eastAsia="zh-CN"/>
        </w:rPr>
        <w:t>30</w:t>
      </w:r>
      <w:r>
        <w:rPr>
          <w:rFonts w:hint="eastAsia" w:ascii="宋体" w:hAnsi="宋体" w:eastAsia="宋体"/>
          <w:snapToGrid w:val="0"/>
          <w:color w:val="auto"/>
          <w:sz w:val="21"/>
          <w:szCs w:val="21"/>
          <w:highlight w:val="none"/>
          <w:u w:val="single"/>
        </w:rPr>
        <w:t>日至202</w:t>
      </w:r>
      <w:r>
        <w:rPr>
          <w:rFonts w:hint="eastAsia" w:ascii="宋体" w:hAnsi="宋体" w:eastAsia="宋体"/>
          <w:snapToGrid w:val="0"/>
          <w:color w:val="auto"/>
          <w:sz w:val="21"/>
          <w:szCs w:val="21"/>
          <w:highlight w:val="none"/>
          <w:u w:val="single"/>
          <w:lang w:val="en-US" w:eastAsia="zh-CN"/>
        </w:rPr>
        <w:t>2</w:t>
      </w:r>
      <w:r>
        <w:rPr>
          <w:rFonts w:hint="eastAsia" w:ascii="宋体" w:hAnsi="宋体" w:eastAsia="宋体"/>
          <w:snapToGrid w:val="0"/>
          <w:color w:val="auto"/>
          <w:sz w:val="21"/>
          <w:szCs w:val="21"/>
          <w:highlight w:val="none"/>
          <w:u w:val="single"/>
        </w:rPr>
        <w:t>年</w:t>
      </w:r>
      <w:r>
        <w:rPr>
          <w:rFonts w:hint="eastAsia" w:ascii="宋体" w:hAnsi="宋体" w:eastAsia="宋体"/>
          <w:snapToGrid w:val="0"/>
          <w:color w:val="auto"/>
          <w:sz w:val="21"/>
          <w:szCs w:val="21"/>
          <w:highlight w:val="none"/>
          <w:u w:val="single"/>
          <w:lang w:val="en-US" w:eastAsia="zh-CN"/>
        </w:rPr>
        <w:t>01</w:t>
      </w:r>
      <w:r>
        <w:rPr>
          <w:rFonts w:hint="eastAsia" w:ascii="宋体" w:hAnsi="宋体" w:eastAsia="宋体"/>
          <w:snapToGrid w:val="0"/>
          <w:color w:val="auto"/>
          <w:sz w:val="21"/>
          <w:szCs w:val="21"/>
          <w:highlight w:val="none"/>
          <w:u w:val="single"/>
        </w:rPr>
        <w:t>月</w:t>
      </w:r>
      <w:r>
        <w:rPr>
          <w:rFonts w:hint="eastAsia" w:ascii="宋体" w:hAnsi="宋体" w:eastAsia="宋体"/>
          <w:snapToGrid w:val="0"/>
          <w:color w:val="auto"/>
          <w:sz w:val="21"/>
          <w:szCs w:val="21"/>
          <w:highlight w:val="none"/>
          <w:u w:val="single"/>
          <w:lang w:val="en-US" w:eastAsia="zh-CN"/>
        </w:rPr>
        <w:t>07</w:t>
      </w:r>
      <w:r>
        <w:rPr>
          <w:rFonts w:hint="eastAsia" w:ascii="宋体" w:hAnsi="宋体" w:eastAsia="宋体"/>
          <w:snapToGrid w:val="0"/>
          <w:color w:val="auto"/>
          <w:sz w:val="21"/>
          <w:szCs w:val="21"/>
          <w:highlight w:val="none"/>
          <w:u w:val="single"/>
        </w:rPr>
        <w:t>日</w:t>
      </w:r>
      <w:r>
        <w:rPr>
          <w:rFonts w:hint="eastAsia" w:ascii="宋体" w:hAnsi="宋体" w:eastAsia="宋体"/>
          <w:snapToGrid w:val="0"/>
          <w:color w:val="auto"/>
          <w:sz w:val="21"/>
          <w:szCs w:val="21"/>
          <w:u w:val="single"/>
        </w:rPr>
        <w:t>，每天上午9：00至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 xml:space="preserve">深圳市福田区民田路171号新华保险大厦903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3、方式：</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（1）现场获取：投标人按以上时间和地点在我司现场报名和获取招标文件。</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（2）线上获取：投标人通过邮件报名及获取招标文件，报名时间以我司邮箱收件时间为准（我司邮箱：qtszzzzb@163.com），逾期不予受理。</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 xml:space="preserve">现场及线上报名均需提供以下资料: </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1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①</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加盖公章的《购买标书登记表》（下载地址：www.szzzt.com 首页“下载中心”）；</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2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②</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加盖公章的营业执照复印件或扫描件；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3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③</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加盖公章的法人授权委托书复印件或扫描件；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4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④</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购买招标文件费用的银行转账凭证。</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开户银行：上海银行深圳分行天安支行</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2022年01月</w:t>
      </w:r>
      <w:r>
        <w:rPr>
          <w:rFonts w:hint="eastAsia" w:ascii="宋体" w:hAnsi="宋体" w:eastAsia="宋体"/>
          <w:snapToGrid w:val="0"/>
          <w:color w:val="auto"/>
          <w:sz w:val="21"/>
          <w:szCs w:val="21"/>
          <w:u w:val="single"/>
          <w:lang w:val="en-US" w:eastAsia="zh-CN"/>
        </w:rPr>
        <w:t>11</w:t>
      </w:r>
      <w:r>
        <w:rPr>
          <w:rFonts w:hint="eastAsia" w:ascii="宋体" w:hAnsi="宋体" w:eastAsia="宋体"/>
          <w:snapToGrid w:val="0"/>
          <w:color w:val="auto"/>
          <w:sz w:val="21"/>
          <w:szCs w:val="21"/>
          <w:u w:val="single"/>
        </w:rPr>
        <w:t>日</w:t>
      </w:r>
      <w:r>
        <w:rPr>
          <w:rFonts w:hint="eastAsia" w:ascii="宋体" w:hAnsi="宋体" w:eastAsia="宋体"/>
          <w:snapToGrid w:val="0"/>
          <w:color w:val="auto"/>
          <w:sz w:val="21"/>
          <w:szCs w:val="21"/>
          <w:u w:val="single"/>
          <w:lang w:val="en-US" w:eastAsia="zh-CN"/>
        </w:rPr>
        <w:t>14</w:t>
      </w:r>
      <w:r>
        <w:rPr>
          <w:rFonts w:hint="eastAsia" w:ascii="宋体" w:hAnsi="宋体" w:eastAsia="宋体"/>
          <w:snapToGrid w:val="0"/>
          <w:color w:val="auto"/>
          <w:sz w:val="21"/>
          <w:szCs w:val="21"/>
          <w:u w:val="single"/>
        </w:rPr>
        <w:t>点</w:t>
      </w:r>
      <w:r>
        <w:rPr>
          <w:rFonts w:hint="eastAsia" w:ascii="宋体" w:hAnsi="宋体" w:eastAsia="宋体"/>
          <w:snapToGrid w:val="0"/>
          <w:color w:val="auto"/>
          <w:sz w:val="21"/>
          <w:szCs w:val="21"/>
          <w:u w:val="single"/>
          <w:lang w:val="en-US" w:eastAsia="zh-CN"/>
        </w:rPr>
        <w:t>30</w:t>
      </w:r>
      <w:r>
        <w:rPr>
          <w:rFonts w:hint="eastAsia" w:ascii="宋体" w:hAnsi="宋体" w:eastAsia="宋体"/>
          <w:snapToGrid w:val="0"/>
          <w:color w:val="auto"/>
          <w:sz w:val="21"/>
          <w:szCs w:val="21"/>
          <w:u w:val="single"/>
        </w:rPr>
        <w:t>分（北京时间）</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2、地点：深圳市龙岗区龙西社区添利鑫创业园添利鑫大厦801</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adjustRightInd w:val="0"/>
        <w:snapToGrid w:val="0"/>
        <w:spacing w:before="0" w:beforeAutospacing="0" w:after="0" w:afterAutospacing="0" w:line="360" w:lineRule="auto"/>
        <w:ind w:firstLine="426"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1、凡参与深圳市政府采购活动的供应商，应自行在深圳公共资源交易中心网站上办理注册（注册网址：</w:t>
      </w:r>
      <w:r>
        <w:rPr>
          <w:rFonts w:asciiTheme="minorEastAsia" w:hAnsiTheme="minorEastAsia" w:eastAsiaTheme="minorEastAsia"/>
          <w:b/>
          <w:snapToGrid w:val="0"/>
          <w:color w:val="auto"/>
          <w:sz w:val="21"/>
        </w:rPr>
        <w:t>www.szzfcg.cn</w:t>
      </w:r>
      <w:r>
        <w:rPr>
          <w:rFonts w:hint="eastAsia" w:ascii="宋体" w:hAnsi="宋体" w:eastAsia="宋体"/>
          <w:b/>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2、本项目需要落实的政府采购政策：《财政部 工业和信息化部关于印发&lt;政府采购促进中小企业发展管理办法&gt;的通知》(财库〔2020〕46号)、《关于政府采购支持监狱企业发展有关问题的通知》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3、本项目相关公告在以下媒体发布：</w:t>
      </w:r>
    </w:p>
    <w:p>
      <w:pPr>
        <w:pStyle w:val="453"/>
        <w:adjustRightInd w:val="0"/>
        <w:snapToGrid w:val="0"/>
        <w:spacing w:before="0" w:beforeAutospacing="0" w:after="0" w:afterAutospacing="0" w:line="360" w:lineRule="auto"/>
        <w:ind w:left="420" w:leftChars="200"/>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3"/>
        <w:adjustRightInd w:val="0"/>
        <w:snapToGrid w:val="0"/>
        <w:spacing w:before="0" w:beforeAutospacing="0" w:after="0" w:afterAutospacing="0" w:line="360" w:lineRule="auto"/>
        <w:ind w:left="420" w:leftChars="200"/>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名称：深圳市龙岗区耳鼻咽喉医院</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地址：深圳市龙岗区龙岗大道龙岗段3004号</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2、招标代理机构信息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联系方式：李先生，0755-83026699</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项目联系人：李先生</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联系电话：0755-83026699</w:t>
      </w:r>
    </w:p>
    <w:p>
      <w:pPr>
        <w:pStyle w:val="453"/>
        <w:adjustRightInd w:val="0"/>
        <w:snapToGrid w:val="0"/>
        <w:spacing w:before="0" w:beforeAutospacing="0" w:after="0" w:afterAutospacing="0" w:line="360" w:lineRule="auto"/>
        <w:ind w:left="359" w:leftChars="171" w:firstLine="63" w:firstLineChars="30"/>
        <w:rPr>
          <w:rFonts w:ascii="宋体" w:hAnsi="宋体" w:eastAsia="宋体"/>
          <w:snapToGrid w:val="0"/>
          <w:color w:val="auto"/>
          <w:sz w:val="21"/>
          <w:szCs w:val="21"/>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jc w:val="right"/>
      </w:pPr>
      <w:r>
        <w:rPr>
          <w:rFonts w:ascii="宋体" w:hAnsi="宋体"/>
          <w:snapToGrid w:val="0"/>
          <w:kern w:val="0"/>
          <w:sz w:val="24"/>
          <w:highlight w:val="none"/>
        </w:rPr>
        <w:t>202</w:t>
      </w:r>
      <w:r>
        <w:rPr>
          <w:rFonts w:hint="eastAsia" w:ascii="宋体" w:hAnsi="宋体"/>
          <w:snapToGrid w:val="0"/>
          <w:kern w:val="0"/>
          <w:sz w:val="24"/>
          <w:highlight w:val="none"/>
        </w:rPr>
        <w:t>1</w:t>
      </w:r>
      <w:r>
        <w:rPr>
          <w:rFonts w:ascii="宋体" w:hAnsi="宋体"/>
          <w:snapToGrid w:val="0"/>
          <w:kern w:val="0"/>
          <w:sz w:val="24"/>
          <w:highlight w:val="none"/>
        </w:rPr>
        <w:t>年</w:t>
      </w:r>
      <w:r>
        <w:rPr>
          <w:rFonts w:hint="eastAsia" w:ascii="宋体" w:hAnsi="宋体"/>
          <w:snapToGrid w:val="0"/>
          <w:kern w:val="0"/>
          <w:sz w:val="24"/>
          <w:highlight w:val="none"/>
        </w:rPr>
        <w:t>12</w:t>
      </w:r>
      <w:r>
        <w:rPr>
          <w:rFonts w:ascii="宋体" w:hAnsi="宋体"/>
          <w:snapToGrid w:val="0"/>
          <w:kern w:val="0"/>
          <w:sz w:val="24"/>
          <w:highlight w:val="none"/>
        </w:rPr>
        <w:t>月</w:t>
      </w:r>
      <w:r>
        <w:rPr>
          <w:rFonts w:hint="eastAsia" w:ascii="宋体" w:hAnsi="宋体"/>
          <w:snapToGrid w:val="0"/>
          <w:kern w:val="0"/>
          <w:sz w:val="24"/>
          <w:highlight w:val="none"/>
          <w:lang w:val="en-US" w:eastAsia="zh-CN"/>
        </w:rPr>
        <w:t>30</w:t>
      </w:r>
      <w:r>
        <w:rPr>
          <w:rFonts w:hint="eastAsia" w:ascii="宋体" w:hAnsi="宋体"/>
          <w:snapToGrid w:val="0"/>
          <w:kern w:val="0"/>
          <w:sz w:val="24"/>
          <w:highlight w:val="none"/>
        </w:rPr>
        <w:t>日</w:t>
      </w:r>
    </w:p>
    <w:p>
      <w:pPr>
        <w:widowControl/>
        <w:jc w:val="left"/>
      </w:pPr>
      <w:r>
        <w:br w:type="page"/>
      </w:r>
    </w:p>
    <w:p/>
    <w:p>
      <w:pPr>
        <w:pStyle w:val="3"/>
      </w:pPr>
      <w:bookmarkStart w:id="1" w:name="_Toc11941"/>
      <w:r>
        <w:rPr>
          <w:rFonts w:hint="eastAsia"/>
        </w:rPr>
        <w:t>第二章  项目需求</w:t>
      </w:r>
      <w:bookmarkEnd w:id="1"/>
    </w:p>
    <w:p>
      <w:pPr>
        <w:spacing w:after="156" w:afterLines="50" w:line="360" w:lineRule="auto"/>
        <w:ind w:left="2"/>
        <w:jc w:val="center"/>
        <w:rPr>
          <w:rFonts w:ascii="宋体" w:hAnsi="宋体"/>
          <w:b/>
          <w:sz w:val="24"/>
        </w:rPr>
      </w:pPr>
      <w:r>
        <w:rPr>
          <w:rFonts w:hint="eastAsia" w:ascii="宋体" w:hAnsi="宋体"/>
          <w:b/>
          <w:sz w:val="24"/>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1、本章项目需求中所出现的工艺、材料、设备或参照的品牌仅为方便描述而没有限制性，投标人可以在其提供的文件资料中选用替代标准，但这些替代标准要优于或相当于技术规格中要求的标准。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任一项带</w:t>
      </w:r>
      <w:r>
        <w:rPr>
          <w:rFonts w:hint="eastAsia" w:ascii="仿宋_GB2312" w:eastAsia="仿宋_GB2312"/>
          <w:sz w:val="24"/>
          <w:highlight w:val="yellow"/>
        </w:rPr>
        <w:t>★</w:t>
      </w:r>
      <w:r>
        <w:rPr>
          <w:rFonts w:hint="eastAsia" w:ascii="仿宋_GB2312" w:eastAsia="仿宋_GB2312"/>
          <w:b/>
          <w:sz w:val="24"/>
          <w:highlight w:val="yellow"/>
        </w:rPr>
        <w:t>的指标未响应或不满足要求的，将导致投标无效。</w:t>
      </w:r>
    </w:p>
    <w:p>
      <w:pPr>
        <w:pStyle w:val="321"/>
        <w:ind w:firstLine="0" w:firstLineChars="0"/>
        <w:rPr>
          <w:b/>
        </w:rPr>
      </w:pPr>
    </w:p>
    <w:p>
      <w:pPr>
        <w:pStyle w:val="321"/>
        <w:ind w:firstLine="0" w:firstLineChars="0"/>
        <w:rPr>
          <w:b/>
        </w:rPr>
      </w:pPr>
      <w:r>
        <w:rPr>
          <w:rFonts w:hint="eastAsia"/>
          <w:b/>
        </w:rPr>
        <w:t>一、项目概况</w:t>
      </w:r>
    </w:p>
    <w:p>
      <w:pPr>
        <w:pStyle w:val="255"/>
        <w:spacing w:before="156"/>
        <w:ind w:firstLine="0" w:firstLineChars="0"/>
        <w:rPr>
          <w:rFonts w:asciiTheme="minorEastAsia" w:hAnsiTheme="minorEastAsia" w:eastAsiaTheme="minorEastAsia"/>
          <w:b/>
        </w:rPr>
      </w:pPr>
      <w:r>
        <w:rPr>
          <w:rFonts w:hint="eastAsia" w:asciiTheme="minorEastAsia" w:hAnsiTheme="minorEastAsia" w:eastAsiaTheme="minorEastAsia"/>
          <w:b/>
        </w:rPr>
        <w:t>（一）采购需求</w:t>
      </w:r>
    </w:p>
    <w:tbl>
      <w:tblPr>
        <w:tblStyle w:val="50"/>
        <w:tblW w:w="9796" w:type="dxa"/>
        <w:tblInd w:w="0" w:type="dxa"/>
        <w:tblLayout w:type="fixed"/>
        <w:tblCellMar>
          <w:top w:w="15" w:type="dxa"/>
          <w:left w:w="15" w:type="dxa"/>
          <w:bottom w:w="15" w:type="dxa"/>
          <w:right w:w="15" w:type="dxa"/>
        </w:tblCellMar>
      </w:tblPr>
      <w:tblGrid>
        <w:gridCol w:w="866"/>
        <w:gridCol w:w="3685"/>
        <w:gridCol w:w="921"/>
        <w:gridCol w:w="922"/>
        <w:gridCol w:w="1701"/>
        <w:gridCol w:w="1701"/>
      </w:tblGrid>
      <w:tr>
        <w:tblPrEx>
          <w:tblCellMar>
            <w:top w:w="15" w:type="dxa"/>
            <w:left w:w="15" w:type="dxa"/>
            <w:bottom w:w="15" w:type="dxa"/>
            <w:right w:w="15" w:type="dxa"/>
          </w:tblCellMar>
        </w:tblPrEx>
        <w:trPr>
          <w:trHeight w:val="689" w:hRule="atLeast"/>
        </w:trPr>
        <w:tc>
          <w:tcPr>
            <w:tcW w:w="866" w:type="dxa"/>
            <w:tcBorders>
              <w:top w:val="single" w:color="000000" w:sz="4" w:space="0"/>
              <w:left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序号</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项目名称</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数量</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单位</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采购预算金额</w:t>
            </w:r>
          </w:p>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（人民币元）</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备注</w:t>
            </w:r>
          </w:p>
        </w:tc>
      </w:tr>
      <w:tr>
        <w:tblPrEx>
          <w:tblCellMar>
            <w:top w:w="15" w:type="dxa"/>
            <w:left w:w="15" w:type="dxa"/>
            <w:bottom w:w="15" w:type="dxa"/>
            <w:right w:w="15" w:type="dxa"/>
          </w:tblCellMar>
        </w:tblPrEx>
        <w:trPr>
          <w:trHeight w:val="799" w:hRule="atLeast"/>
        </w:trPr>
        <w:tc>
          <w:tcPr>
            <w:tcW w:w="86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rPr>
              <w:t>1</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龙岗区耳鼻咽喉医院信息系统软件建设维护服务项目</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1</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项</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115,000.00</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无</w:t>
            </w:r>
          </w:p>
        </w:tc>
      </w:tr>
    </w:tbl>
    <w:p>
      <w:pPr>
        <w:pStyle w:val="321"/>
        <w:numPr>
          <w:ilvl w:val="0"/>
          <w:numId w:val="4"/>
        </w:numPr>
        <w:ind w:firstLine="0" w:firstLineChars="0"/>
        <w:rPr>
          <w:b/>
          <w:sz w:val="21"/>
          <w:szCs w:val="21"/>
        </w:rPr>
      </w:pPr>
      <w:r>
        <w:rPr>
          <w:rFonts w:hint="eastAsia"/>
          <w:b/>
          <w:sz w:val="21"/>
          <w:szCs w:val="21"/>
        </w:rPr>
        <w:t>项目背景</w:t>
      </w:r>
    </w:p>
    <w:p>
      <w:pPr>
        <w:spacing w:line="360" w:lineRule="auto"/>
        <w:ind w:firstLine="482"/>
        <w:rPr>
          <w:rFonts w:ascii="宋体" w:hAnsi="宋体" w:cs="宋体"/>
        </w:rPr>
      </w:pPr>
      <w:r>
        <w:rPr>
          <w:rFonts w:hint="eastAsia" w:ascii="宋体" w:hAnsi="宋体" w:cs="宋体"/>
        </w:rPr>
        <w:t>《龙岗区公立医院信息系统软件建设项目采购》项目于2019年由区卫健统筹建设，龙岗区耳鼻咽喉医院建设内容包括医院感染管理系统、不良事件管理系统、医疗质量监测数据上报系统等6个系统。项目建设成果显著，推动龙岗区耳鼻咽喉医院医疗质量评估水平上升一个台阶。</w:t>
      </w:r>
    </w:p>
    <w:p>
      <w:pPr>
        <w:spacing w:line="360" w:lineRule="auto"/>
        <w:ind w:firstLine="482"/>
        <w:rPr>
          <w:b/>
          <w:szCs w:val="21"/>
        </w:rPr>
      </w:pPr>
      <w:r>
        <w:rPr>
          <w:rFonts w:hint="eastAsia" w:ascii="宋体" w:hAnsi="宋体" w:cs="宋体"/>
        </w:rPr>
        <w:t>为保障前期建设成果，保障各信息系统稳定运行，特此进行维护服务的公开招标。</w:t>
      </w:r>
    </w:p>
    <w:p>
      <w:pPr>
        <w:pStyle w:val="321"/>
        <w:numPr>
          <w:ilvl w:val="0"/>
          <w:numId w:val="4"/>
        </w:numPr>
        <w:ind w:firstLine="0" w:firstLineChars="0"/>
        <w:rPr>
          <w:b/>
          <w:sz w:val="21"/>
          <w:szCs w:val="21"/>
        </w:rPr>
      </w:pPr>
      <w:r>
        <w:rPr>
          <w:rFonts w:hint="eastAsia"/>
          <w:b/>
          <w:sz w:val="21"/>
          <w:szCs w:val="21"/>
        </w:rPr>
        <w:t>项目目标</w:t>
      </w:r>
    </w:p>
    <w:p>
      <w:pPr>
        <w:pStyle w:val="321"/>
        <w:ind w:firstLine="420"/>
        <w:rPr>
          <w:b/>
          <w:sz w:val="21"/>
          <w:szCs w:val="21"/>
        </w:rPr>
      </w:pPr>
      <w:r>
        <w:rPr>
          <w:bCs/>
          <w:sz w:val="21"/>
          <w:szCs w:val="21"/>
        </w:rPr>
        <w:t>本次维护服务项目旨在通过运行维护服务，制定科学的服务方案，严谨的管理制度规范和应急服务响应措施，全面保障医院业务系统的稳定运行，持续助力龙岗区耳鼻咽喉医院业务管理与发展。</w:t>
      </w:r>
    </w:p>
    <w:p>
      <w:pPr>
        <w:pStyle w:val="321"/>
        <w:ind w:firstLine="0" w:firstLineChars="0"/>
        <w:rPr>
          <w:b/>
        </w:rPr>
      </w:pPr>
      <w:r>
        <w:rPr>
          <w:rFonts w:hint="eastAsia"/>
          <w:b/>
        </w:rPr>
        <w:t>二、项目服务要求</w:t>
      </w:r>
    </w:p>
    <w:p>
      <w:pPr>
        <w:pStyle w:val="453"/>
        <w:adjustRightInd w:val="0"/>
        <w:snapToGrid w:val="0"/>
        <w:spacing w:before="0" w:beforeAutospacing="0" w:after="0" w:afterAutospacing="0" w:line="360" w:lineRule="auto"/>
        <w:ind w:left="359" w:leftChars="171" w:firstLine="65" w:firstLineChars="31"/>
        <w:rPr>
          <w:rFonts w:ascii="宋体" w:hAnsi="宋体" w:eastAsia="宋体"/>
          <w:b/>
          <w:bCs/>
          <w:snapToGrid w:val="0"/>
          <w:color w:val="auto"/>
          <w:sz w:val="21"/>
          <w:szCs w:val="21"/>
        </w:rPr>
      </w:pPr>
      <w:r>
        <w:rPr>
          <w:rFonts w:hint="eastAsia" w:ascii="宋体" w:hAnsi="宋体" w:eastAsia="宋体"/>
          <w:b/>
          <w:bCs/>
          <w:snapToGrid w:val="0"/>
          <w:color w:val="auto"/>
          <w:sz w:val="21"/>
          <w:szCs w:val="21"/>
        </w:rPr>
        <w:t>（一）维护服务清单：</w:t>
      </w:r>
    </w:p>
    <w:p>
      <w:pPr>
        <w:spacing w:line="360" w:lineRule="auto"/>
        <w:ind w:firstLine="480"/>
        <w:rPr>
          <w:rFonts w:ascii="宋体" w:hAnsi="宋体" w:cs="宋体"/>
          <w:color w:val="000000"/>
          <w:kern w:val="0"/>
          <w:lang w:eastAsia="zh-Hans"/>
        </w:rPr>
      </w:pPr>
      <w:r>
        <w:rPr>
          <w:rFonts w:hint="eastAsia" w:ascii="宋体" w:hAnsi="宋体" w:cs="宋体"/>
          <w:lang w:eastAsia="zh-Hans"/>
        </w:rPr>
        <w:t>本次</w:t>
      </w:r>
      <w:r>
        <w:rPr>
          <w:rFonts w:hint="eastAsia" w:ascii="宋体" w:hAnsi="宋体" w:cs="宋体"/>
        </w:rPr>
        <w:t>项目维护服务内容主要包括医院感染管理系统、医疗质量监测数据上报系统</w:t>
      </w:r>
      <w:r>
        <w:rPr>
          <w:rFonts w:hint="eastAsia" w:ascii="宋体" w:hAnsi="宋体" w:cs="宋体"/>
          <w:lang w:eastAsia="zh-Hans"/>
        </w:rPr>
        <w:t>等</w:t>
      </w:r>
      <w:r>
        <w:rPr>
          <w:rFonts w:hint="eastAsia" w:ascii="宋体" w:hAnsi="宋体" w:cs="宋体"/>
          <w:color w:val="000000"/>
          <w:kern w:val="0"/>
        </w:rPr>
        <w:t>系统</w:t>
      </w:r>
      <w:r>
        <w:rPr>
          <w:rFonts w:hint="eastAsia" w:ascii="宋体" w:hAnsi="宋体" w:cs="宋体"/>
          <w:color w:val="000000"/>
          <w:kern w:val="0"/>
          <w:lang w:eastAsia="zh-Hans"/>
        </w:rPr>
        <w:t>的</w:t>
      </w:r>
      <w:r>
        <w:rPr>
          <w:rFonts w:hint="eastAsia" w:ascii="宋体" w:hAnsi="宋体" w:cs="宋体"/>
          <w:color w:val="000000"/>
          <w:kern w:val="0"/>
        </w:rPr>
        <w:t>维护</w:t>
      </w:r>
      <w:r>
        <w:rPr>
          <w:rFonts w:hint="eastAsia" w:ascii="宋体" w:hAnsi="宋体" w:cs="宋体"/>
          <w:color w:val="000000"/>
          <w:kern w:val="0"/>
          <w:lang w:eastAsia="zh-Hans"/>
        </w:rPr>
        <w:t>，具体运维服务内容如下：</w:t>
      </w:r>
    </w:p>
    <w:tbl>
      <w:tblPr>
        <w:tblStyle w:val="50"/>
        <w:tblW w:w="4997" w:type="pct"/>
        <w:tblInd w:w="20" w:type="dxa"/>
        <w:tblLayout w:type="autofit"/>
        <w:tblCellMar>
          <w:top w:w="15" w:type="dxa"/>
          <w:left w:w="15" w:type="dxa"/>
          <w:bottom w:w="15" w:type="dxa"/>
          <w:right w:w="15" w:type="dxa"/>
        </w:tblCellMar>
      </w:tblPr>
      <w:tblGrid>
        <w:gridCol w:w="1401"/>
        <w:gridCol w:w="8261"/>
      </w:tblGrid>
      <w:tr>
        <w:tblPrEx>
          <w:tblCellMar>
            <w:top w:w="15" w:type="dxa"/>
            <w:left w:w="15" w:type="dxa"/>
            <w:bottom w:w="15" w:type="dxa"/>
            <w:right w:w="15" w:type="dxa"/>
          </w:tblCellMar>
        </w:tblPrEx>
        <w:trPr>
          <w:trHeight w:val="255" w:hRule="atLeast"/>
        </w:trPr>
        <w:tc>
          <w:tcPr>
            <w:tcW w:w="725" w:type="pct"/>
            <w:tcBorders>
              <w:top w:val="single" w:color="000000" w:sz="4" w:space="0"/>
              <w:left w:val="single" w:color="000000" w:sz="4" w:space="0"/>
              <w:bottom w:val="single" w:color="000000" w:sz="4" w:space="0"/>
              <w:right w:val="single" w:color="000000" w:sz="4" w:space="0"/>
            </w:tcBorders>
            <w:shd w:val="clear" w:color="auto" w:fill="BFBFBF"/>
            <w:vAlign w:val="center"/>
          </w:tcPr>
          <w:p>
            <w:pPr>
              <w:spacing w:line="360" w:lineRule="auto"/>
              <w:jc w:val="center"/>
              <w:rPr>
                <w:rFonts w:ascii="宋体" w:hAnsi="宋体"/>
                <w:b/>
                <w:bCs/>
              </w:rPr>
            </w:pPr>
            <w:r>
              <w:rPr>
                <w:rFonts w:hint="eastAsia" w:ascii="宋体" w:hAnsi="宋体"/>
                <w:b/>
                <w:bCs/>
              </w:rPr>
              <w:t>序号</w:t>
            </w:r>
          </w:p>
        </w:tc>
        <w:tc>
          <w:tcPr>
            <w:tcW w:w="4274" w:type="pct"/>
            <w:tcBorders>
              <w:top w:val="single" w:color="000000" w:sz="4" w:space="0"/>
              <w:left w:val="single" w:color="000000" w:sz="4" w:space="0"/>
              <w:bottom w:val="single" w:color="000000" w:sz="4" w:space="0"/>
              <w:right w:val="single" w:color="000000" w:sz="4" w:space="0"/>
            </w:tcBorders>
            <w:shd w:val="clear" w:color="auto" w:fill="BFBFBF"/>
            <w:vAlign w:val="center"/>
          </w:tcPr>
          <w:p>
            <w:pPr>
              <w:spacing w:line="360" w:lineRule="auto"/>
              <w:ind w:firstLine="482"/>
              <w:jc w:val="center"/>
              <w:rPr>
                <w:rFonts w:ascii="宋体" w:hAnsi="宋体"/>
                <w:b/>
                <w:bCs/>
              </w:rPr>
            </w:pPr>
            <w:r>
              <w:rPr>
                <w:rFonts w:hint="eastAsia" w:ascii="宋体" w:hAnsi="宋体"/>
                <w:b/>
                <w:bCs/>
              </w:rPr>
              <w:t>运维服务内容</w:t>
            </w:r>
          </w:p>
        </w:tc>
      </w:tr>
      <w:tr>
        <w:tblPrEx>
          <w:tblCellMar>
            <w:top w:w="15" w:type="dxa"/>
            <w:left w:w="15" w:type="dxa"/>
            <w:bottom w:w="15" w:type="dxa"/>
            <w:right w:w="15" w:type="dxa"/>
          </w:tblCellMar>
        </w:tblPrEx>
        <w:trPr>
          <w:trHeight w:val="255" w:hRule="atLeast"/>
        </w:trPr>
        <w:tc>
          <w:tcPr>
            <w:tcW w:w="725"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r>
              <w:rPr>
                <w:rFonts w:hint="eastAsia" w:ascii="宋体" w:hAnsi="宋体"/>
              </w:rPr>
              <w:t>1</w:t>
            </w:r>
          </w:p>
        </w:tc>
        <w:tc>
          <w:tcPr>
            <w:tcW w:w="4274" w:type="pct"/>
            <w:tcBorders>
              <w:top w:val="single" w:color="000000" w:sz="4" w:space="0"/>
              <w:left w:val="single" w:color="000000" w:sz="4" w:space="0"/>
              <w:bottom w:val="single" w:color="000000" w:sz="4" w:space="0"/>
              <w:right w:val="single" w:color="000000" w:sz="4" w:space="0"/>
            </w:tcBorders>
            <w:vAlign w:val="center"/>
          </w:tcPr>
          <w:p>
            <w:pPr>
              <w:spacing w:line="360" w:lineRule="auto"/>
              <w:ind w:firstLine="480"/>
              <w:jc w:val="center"/>
              <w:rPr>
                <w:rFonts w:ascii="宋体" w:hAnsi="宋体"/>
              </w:rPr>
            </w:pPr>
            <w:r>
              <w:rPr>
                <w:rFonts w:hint="eastAsia" w:ascii="宋体" w:hAnsi="宋体"/>
              </w:rPr>
              <w:t>医院感染管理系统</w:t>
            </w:r>
          </w:p>
        </w:tc>
      </w:tr>
      <w:tr>
        <w:tblPrEx>
          <w:tblCellMar>
            <w:top w:w="15" w:type="dxa"/>
            <w:left w:w="15" w:type="dxa"/>
            <w:bottom w:w="15" w:type="dxa"/>
            <w:right w:w="15" w:type="dxa"/>
          </w:tblCellMar>
        </w:tblPrEx>
        <w:trPr>
          <w:trHeight w:val="255" w:hRule="atLeast"/>
        </w:trPr>
        <w:tc>
          <w:tcPr>
            <w:tcW w:w="725"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r>
              <w:rPr>
                <w:rFonts w:hint="eastAsia" w:ascii="宋体" w:hAnsi="宋体"/>
              </w:rPr>
              <w:t>2</w:t>
            </w:r>
          </w:p>
        </w:tc>
        <w:tc>
          <w:tcPr>
            <w:tcW w:w="4274" w:type="pct"/>
            <w:tcBorders>
              <w:top w:val="single" w:color="000000" w:sz="4" w:space="0"/>
              <w:left w:val="single" w:color="000000" w:sz="4" w:space="0"/>
              <w:bottom w:val="single" w:color="000000" w:sz="4" w:space="0"/>
              <w:right w:val="single" w:color="000000" w:sz="4" w:space="0"/>
            </w:tcBorders>
            <w:vAlign w:val="center"/>
          </w:tcPr>
          <w:p>
            <w:pPr>
              <w:spacing w:line="360" w:lineRule="auto"/>
              <w:ind w:firstLine="480"/>
              <w:jc w:val="center"/>
              <w:rPr>
                <w:rFonts w:ascii="宋体" w:hAnsi="宋体"/>
              </w:rPr>
            </w:pPr>
            <w:r>
              <w:rPr>
                <w:rFonts w:hint="eastAsia" w:ascii="宋体" w:hAnsi="宋体"/>
              </w:rPr>
              <w:t>不良事件管理系统</w:t>
            </w:r>
          </w:p>
        </w:tc>
      </w:tr>
      <w:tr>
        <w:tblPrEx>
          <w:tblCellMar>
            <w:top w:w="15" w:type="dxa"/>
            <w:left w:w="15" w:type="dxa"/>
            <w:bottom w:w="15" w:type="dxa"/>
            <w:right w:w="15" w:type="dxa"/>
          </w:tblCellMar>
        </w:tblPrEx>
        <w:trPr>
          <w:trHeight w:val="255" w:hRule="atLeast"/>
        </w:trPr>
        <w:tc>
          <w:tcPr>
            <w:tcW w:w="725"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r>
              <w:rPr>
                <w:rFonts w:hint="eastAsia" w:ascii="宋体" w:hAnsi="宋体"/>
              </w:rPr>
              <w:t>3</w:t>
            </w:r>
          </w:p>
        </w:tc>
        <w:tc>
          <w:tcPr>
            <w:tcW w:w="4274" w:type="pct"/>
            <w:tcBorders>
              <w:top w:val="single" w:color="000000" w:sz="4" w:space="0"/>
              <w:left w:val="single" w:color="000000" w:sz="4" w:space="0"/>
              <w:bottom w:val="single" w:color="000000" w:sz="4" w:space="0"/>
              <w:right w:val="single" w:color="000000" w:sz="4" w:space="0"/>
            </w:tcBorders>
            <w:vAlign w:val="center"/>
          </w:tcPr>
          <w:p>
            <w:pPr>
              <w:spacing w:line="360" w:lineRule="auto"/>
              <w:ind w:firstLine="480"/>
              <w:jc w:val="center"/>
              <w:rPr>
                <w:rFonts w:ascii="宋体" w:hAnsi="宋体"/>
              </w:rPr>
            </w:pPr>
            <w:r>
              <w:rPr>
                <w:rFonts w:hint="eastAsia" w:ascii="宋体" w:hAnsi="宋体"/>
              </w:rPr>
              <w:t>麻醉临床信息系统</w:t>
            </w:r>
          </w:p>
        </w:tc>
      </w:tr>
      <w:tr>
        <w:tblPrEx>
          <w:tblCellMar>
            <w:top w:w="15" w:type="dxa"/>
            <w:left w:w="15" w:type="dxa"/>
            <w:bottom w:w="15" w:type="dxa"/>
            <w:right w:w="15" w:type="dxa"/>
          </w:tblCellMar>
        </w:tblPrEx>
        <w:trPr>
          <w:trHeight w:val="255" w:hRule="atLeast"/>
        </w:trPr>
        <w:tc>
          <w:tcPr>
            <w:tcW w:w="725"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r>
              <w:rPr>
                <w:rFonts w:hint="eastAsia" w:ascii="宋体" w:hAnsi="宋体"/>
              </w:rPr>
              <w:t>4</w:t>
            </w:r>
          </w:p>
        </w:tc>
        <w:tc>
          <w:tcPr>
            <w:tcW w:w="4274" w:type="pct"/>
            <w:tcBorders>
              <w:top w:val="single" w:color="000000" w:sz="4" w:space="0"/>
              <w:left w:val="single" w:color="000000" w:sz="4" w:space="0"/>
              <w:bottom w:val="single" w:color="000000" w:sz="4" w:space="0"/>
              <w:right w:val="single" w:color="000000" w:sz="4" w:space="0"/>
            </w:tcBorders>
            <w:vAlign w:val="center"/>
          </w:tcPr>
          <w:p>
            <w:pPr>
              <w:spacing w:line="360" w:lineRule="auto"/>
              <w:ind w:firstLine="480"/>
              <w:jc w:val="center"/>
              <w:rPr>
                <w:rFonts w:ascii="宋体" w:hAnsi="宋体"/>
              </w:rPr>
            </w:pPr>
            <w:r>
              <w:rPr>
                <w:rFonts w:hint="eastAsia" w:ascii="宋体" w:hAnsi="宋体"/>
              </w:rPr>
              <w:t>移动护理系统</w:t>
            </w:r>
          </w:p>
        </w:tc>
      </w:tr>
    </w:tbl>
    <w:p>
      <w:pPr>
        <w:pStyle w:val="453"/>
        <w:adjustRightInd w:val="0"/>
        <w:snapToGrid w:val="0"/>
        <w:spacing w:before="0" w:beforeAutospacing="0" w:after="0" w:afterAutospacing="0" w:line="360" w:lineRule="auto"/>
        <w:ind w:left="359" w:leftChars="171" w:firstLine="65" w:firstLineChars="31"/>
        <w:rPr>
          <w:rFonts w:ascii="宋体" w:hAnsi="宋体" w:eastAsia="宋体"/>
          <w:b/>
          <w:bCs/>
          <w:snapToGrid w:val="0"/>
          <w:color w:val="auto"/>
          <w:sz w:val="21"/>
          <w:szCs w:val="21"/>
        </w:rPr>
      </w:pP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b/>
          <w:bCs/>
          <w:snapToGrid w:val="0"/>
          <w:color w:val="auto"/>
          <w:sz w:val="21"/>
          <w:szCs w:val="21"/>
        </w:rPr>
        <w:t>（二）维护服务要求：</w:t>
      </w:r>
    </w:p>
    <w:p>
      <w:pPr>
        <w:spacing w:line="360" w:lineRule="auto"/>
        <w:ind w:firstLine="422" w:firstLineChars="200"/>
        <w:rPr>
          <w:rFonts w:ascii="宋体" w:hAnsi="宋体" w:cs="宋体"/>
        </w:rPr>
      </w:pPr>
      <w:bookmarkStart w:id="2" w:name="_Toc589244078"/>
      <w:bookmarkStart w:id="3" w:name="_Toc80777472"/>
      <w:r>
        <w:rPr>
          <w:rFonts w:hint="eastAsia" w:ascii="宋体" w:hAnsi="宋体" w:cs="宋体"/>
          <w:b/>
          <w:bCs/>
        </w:rPr>
        <w:t>1、医院感染管</w:t>
      </w:r>
      <w:r>
        <w:rPr>
          <w:rFonts w:hint="eastAsia"/>
          <w:b/>
          <w:bCs/>
        </w:rPr>
        <w:t>理系统运维</w:t>
      </w:r>
      <w:r>
        <w:rPr>
          <w:b/>
          <w:bCs/>
        </w:rPr>
        <w:t>服务</w:t>
      </w:r>
      <w:bookmarkEnd w:id="2"/>
      <w:bookmarkEnd w:id="3"/>
      <w:r>
        <w:rPr>
          <w:rFonts w:hint="eastAsia"/>
          <w:b/>
          <w:bCs/>
        </w:rPr>
        <w:t>要求</w:t>
      </w:r>
    </w:p>
    <w:p>
      <w:pPr>
        <w:widowControl/>
        <w:spacing w:line="360" w:lineRule="auto"/>
        <w:ind w:left="426"/>
        <w:rPr>
          <w:rFonts w:ascii="宋体" w:hAnsi="宋体" w:cs="宋体"/>
          <w:b/>
          <w:color w:val="000000"/>
          <w:kern w:val="0"/>
        </w:rPr>
      </w:pPr>
      <w:r>
        <w:rPr>
          <w:rFonts w:hint="eastAsia" w:ascii="宋体" w:hAnsi="宋体" w:cs="宋体"/>
          <w:b/>
          <w:color w:val="000000"/>
          <w:kern w:val="0"/>
        </w:rPr>
        <w:t>1.1日常维护</w:t>
      </w:r>
    </w:p>
    <w:p>
      <w:pPr>
        <w:widowControl/>
        <w:spacing w:line="360" w:lineRule="auto"/>
        <w:ind w:firstLine="480"/>
        <w:rPr>
          <w:rFonts w:ascii="宋体" w:hAnsi="宋体"/>
        </w:rPr>
      </w:pPr>
      <w:r>
        <w:rPr>
          <w:rFonts w:hint="eastAsia" w:ascii="宋体" w:hAnsi="宋体"/>
        </w:rPr>
        <w:t>根据对医院感染管理系统的了解及经验，</w:t>
      </w:r>
      <w:r>
        <w:rPr>
          <w:rFonts w:hint="eastAsia" w:ascii="宋体" w:hAnsi="宋体" w:cs="宋体"/>
          <w:color w:val="000000"/>
          <w:kern w:val="0"/>
        </w:rPr>
        <w:t>按照医院管理规范，对医院感染管理系统提供维护服务，保障系统日常稳定运行，</w:t>
      </w:r>
      <w:r>
        <w:rPr>
          <w:rFonts w:hint="eastAsia" w:ascii="宋体" w:hAnsi="宋体"/>
        </w:rPr>
        <w:t>具体要求如下：</w:t>
      </w:r>
    </w:p>
    <w:p>
      <w:pPr>
        <w:widowControl/>
        <w:spacing w:line="360" w:lineRule="auto"/>
        <w:ind w:firstLine="420" w:firstLineChars="200"/>
        <w:rPr>
          <w:rFonts w:ascii="宋体" w:hAnsi="宋体" w:cs="宋体"/>
          <w:color w:val="000000"/>
          <w:kern w:val="0"/>
        </w:rPr>
      </w:pPr>
      <w:r>
        <w:rPr>
          <w:rFonts w:hint="eastAsia" w:ascii="宋体" w:hAnsi="宋体"/>
        </w:rPr>
        <w:t>1.1.1要求</w:t>
      </w:r>
      <w:r>
        <w:rPr>
          <w:rFonts w:hint="eastAsia" w:ascii="宋体" w:hAnsi="宋体" w:cs="宋体"/>
          <w:color w:val="000000"/>
          <w:kern w:val="0"/>
        </w:rPr>
        <w:t>保障应用正常运行，完成系统现有功能模块B</w:t>
      </w:r>
      <w:r>
        <w:rPr>
          <w:rFonts w:ascii="宋体" w:hAnsi="宋体" w:cs="宋体"/>
          <w:color w:val="000000"/>
          <w:kern w:val="0"/>
        </w:rPr>
        <w:t>UG</w:t>
      </w:r>
      <w:r>
        <w:rPr>
          <w:rFonts w:hint="eastAsia" w:ascii="宋体" w:hAnsi="宋体" w:cs="宋体"/>
          <w:color w:val="000000"/>
          <w:kern w:val="0"/>
        </w:rPr>
        <w:t>和日常使用问题的处理；</w:t>
      </w:r>
    </w:p>
    <w:p>
      <w:pPr>
        <w:widowControl/>
        <w:spacing w:line="360" w:lineRule="auto"/>
        <w:ind w:firstLine="420" w:firstLineChars="200"/>
        <w:rPr>
          <w:rFonts w:ascii="宋体" w:hAnsi="宋体" w:cs="宋体"/>
          <w:color w:val="000000"/>
          <w:kern w:val="0"/>
        </w:rPr>
      </w:pPr>
      <w:r>
        <w:rPr>
          <w:rFonts w:hint="eastAsia" w:ascii="宋体" w:hAnsi="宋体" w:cs="宋体"/>
          <w:color w:val="000000"/>
          <w:kern w:val="0"/>
        </w:rPr>
        <w:t>1.1.2</w:t>
      </w:r>
      <w:r>
        <w:rPr>
          <w:rFonts w:hint="eastAsia" w:ascii="宋体" w:hAnsi="宋体" w:cs="宋体"/>
          <w:color w:val="000000"/>
          <w:kern w:val="0"/>
          <w:lang w:eastAsia="zh-Hans"/>
        </w:rPr>
        <w:t>要求提供每年两次的应用系统巡检。</w:t>
      </w:r>
    </w:p>
    <w:p>
      <w:pPr>
        <w:widowControl/>
        <w:spacing w:line="360" w:lineRule="auto"/>
        <w:ind w:left="426"/>
        <w:rPr>
          <w:rFonts w:ascii="宋体" w:hAnsi="宋体" w:cs="宋体"/>
          <w:b/>
          <w:color w:val="000000"/>
          <w:kern w:val="0"/>
        </w:rPr>
      </w:pPr>
      <w:r>
        <w:rPr>
          <w:rFonts w:hint="eastAsia" w:ascii="宋体" w:hAnsi="宋体" w:cs="宋体"/>
          <w:b/>
          <w:color w:val="000000"/>
          <w:kern w:val="0"/>
        </w:rPr>
        <w:t>1.2故障修复</w:t>
      </w:r>
    </w:p>
    <w:p>
      <w:pPr>
        <w:spacing w:line="360" w:lineRule="auto"/>
        <w:ind w:firstLine="480"/>
        <w:rPr>
          <w:rFonts w:ascii="等线" w:hAnsi="等线"/>
        </w:rPr>
      </w:pPr>
      <w:r>
        <w:rPr>
          <w:rFonts w:hint="eastAsia" w:ascii="等线" w:hAnsi="等线"/>
        </w:rPr>
        <w:t>严格按照故障处理流程，对现场发生的故障及时做出判断，使故障能在最短的时间内得到解决。具体要求如下：</w:t>
      </w:r>
    </w:p>
    <w:p>
      <w:pPr>
        <w:spacing w:line="360" w:lineRule="auto"/>
        <w:ind w:firstLine="480"/>
        <w:rPr>
          <w:rFonts w:ascii="宋体" w:hAnsi="宋体"/>
        </w:rPr>
      </w:pPr>
      <w:r>
        <w:rPr>
          <w:rFonts w:ascii="宋体" w:hAnsi="宋体"/>
        </w:rPr>
        <w:t>1</w:t>
      </w:r>
      <w:r>
        <w:rPr>
          <w:rFonts w:hint="eastAsia" w:ascii="宋体" w:hAnsi="宋体"/>
        </w:rPr>
        <w:t>.2.1要求提供电话响应、远程技术支持、现场服务等多种故障修复服务方式；</w:t>
      </w:r>
    </w:p>
    <w:p>
      <w:pPr>
        <w:spacing w:line="360" w:lineRule="auto"/>
        <w:ind w:firstLine="480"/>
        <w:rPr>
          <w:rFonts w:ascii="宋体" w:hAnsi="宋体"/>
        </w:rPr>
      </w:pPr>
      <w:r>
        <w:rPr>
          <w:rFonts w:hint="eastAsia" w:ascii="宋体" w:hAnsi="宋体"/>
        </w:rPr>
        <w:t>1.2.2要求提供电话在线服务，以便于用户随时进行故障报修；</w:t>
      </w:r>
    </w:p>
    <w:p>
      <w:pPr>
        <w:spacing w:line="360" w:lineRule="auto"/>
        <w:ind w:firstLine="480"/>
        <w:rPr>
          <w:rFonts w:ascii="宋体" w:hAnsi="宋体"/>
        </w:rPr>
      </w:pPr>
      <w:r>
        <w:rPr>
          <w:rFonts w:hint="eastAsia" w:ascii="宋体" w:hAnsi="宋体"/>
        </w:rPr>
        <w:t>1.2.3要求出现一般故障（指不影响正常业务的功能性故障）时在1个工作日内响应，在3个工作日内完成修复，出现紧急故障（指影响了日常业务使用的故障）时在2小时内到达现场，在2小时内完成修复，如果2小时内问题仍然无法解决，启动应急预案并派出由资深团队到现场协作解决；</w:t>
      </w:r>
    </w:p>
    <w:p>
      <w:pPr>
        <w:spacing w:line="360" w:lineRule="auto"/>
        <w:ind w:firstLine="480"/>
        <w:rPr>
          <w:rFonts w:ascii="宋体" w:hAnsi="宋体"/>
        </w:rPr>
      </w:pPr>
      <w:r>
        <w:rPr>
          <w:rFonts w:hint="eastAsia" w:ascii="宋体" w:hAnsi="宋体"/>
        </w:rPr>
        <w:t>1.2.4故障处理以迅速恢复服务为首要目标，恢复正常后，应进一步采取纠正预防措施，避免类似故障的反复发生；</w:t>
      </w:r>
    </w:p>
    <w:p>
      <w:pPr>
        <w:spacing w:line="360" w:lineRule="auto"/>
        <w:ind w:firstLine="480"/>
        <w:rPr>
          <w:rFonts w:ascii="宋体" w:hAnsi="宋体"/>
        </w:rPr>
      </w:pPr>
      <w:r>
        <w:rPr>
          <w:rFonts w:hint="eastAsia" w:ascii="宋体" w:hAnsi="宋体"/>
        </w:rPr>
        <w:t>1.2.5要求在现场处理事件时，严格遵守用户相关规定，在需要做出变更等重大操作前均提前告知用户方案情况，获得许可后再进行变更；</w:t>
      </w:r>
    </w:p>
    <w:p>
      <w:pPr>
        <w:spacing w:line="360" w:lineRule="auto"/>
        <w:ind w:firstLine="480"/>
        <w:rPr>
          <w:rFonts w:ascii="宋体" w:hAnsi="宋体"/>
        </w:rPr>
      </w:pPr>
      <w:r>
        <w:rPr>
          <w:rFonts w:hint="eastAsia" w:ascii="宋体" w:hAnsi="宋体"/>
        </w:rPr>
        <w:t>1.2.6要求在故障处理完成后，向用户提交《故障处理报告》，详细说明故障原因、处理过程、解决办法、预防措施等内容；</w:t>
      </w:r>
    </w:p>
    <w:p>
      <w:pPr>
        <w:widowControl/>
        <w:spacing w:line="360" w:lineRule="auto"/>
        <w:ind w:firstLine="480"/>
        <w:rPr>
          <w:rFonts w:ascii="宋体" w:hAnsi="宋体"/>
        </w:rPr>
      </w:pPr>
      <w:r>
        <w:rPr>
          <w:rFonts w:hint="eastAsia" w:ascii="宋体" w:hAnsi="宋体"/>
        </w:rPr>
        <w:t>1.2.7系统恢复正常后，应对系统进行持续跟踪，避免遗留问题。</w:t>
      </w:r>
    </w:p>
    <w:p>
      <w:pPr>
        <w:widowControl/>
        <w:spacing w:line="360" w:lineRule="auto"/>
        <w:ind w:left="426"/>
        <w:rPr>
          <w:rFonts w:ascii="宋体" w:hAnsi="宋体" w:cs="宋体"/>
          <w:b/>
          <w:color w:val="000000"/>
          <w:kern w:val="0"/>
        </w:rPr>
      </w:pPr>
      <w:r>
        <w:rPr>
          <w:rFonts w:hint="eastAsia" w:ascii="宋体" w:hAnsi="宋体" w:cs="宋体"/>
          <w:b/>
          <w:color w:val="000000"/>
          <w:kern w:val="0"/>
        </w:rPr>
        <w:t>1.3技术支持</w:t>
      </w:r>
    </w:p>
    <w:p>
      <w:pPr>
        <w:widowControl/>
        <w:spacing w:line="360" w:lineRule="auto"/>
        <w:ind w:firstLine="480"/>
        <w:rPr>
          <w:rFonts w:ascii="宋体" w:hAnsi="宋体" w:cs="宋体"/>
          <w:color w:val="000000"/>
          <w:kern w:val="0"/>
        </w:rPr>
      </w:pPr>
      <w:r>
        <w:rPr>
          <w:rFonts w:hint="eastAsia" w:ascii="宋体" w:hAnsi="宋体" w:cs="宋体"/>
          <w:color w:val="000000"/>
          <w:kern w:val="0"/>
        </w:rPr>
        <w:t>要求提供维护人员巡查服务，提供医院感染管理系统轮巡、系统故障处理等服务，</w:t>
      </w:r>
      <w:r>
        <w:rPr>
          <w:rFonts w:hint="eastAsia" w:ascii="等线" w:hAnsi="等线"/>
        </w:rPr>
        <w:t>以便出现故障时及时响应，将影响降至最低。</w:t>
      </w:r>
    </w:p>
    <w:p>
      <w:pPr>
        <w:ind w:firstLine="422" w:firstLineChars="200"/>
        <w:rPr>
          <w:rFonts w:ascii="宋体" w:hAnsi="宋体" w:cs="宋体"/>
          <w:b/>
          <w:bCs/>
        </w:rPr>
      </w:pPr>
      <w:bookmarkStart w:id="4" w:name="_Toc80777473"/>
      <w:bookmarkStart w:id="5" w:name="_Toc1378122629"/>
      <w:bookmarkStart w:id="6" w:name="_Toc65152771"/>
    </w:p>
    <w:p>
      <w:pPr>
        <w:ind w:firstLine="422" w:firstLineChars="200"/>
        <w:rPr>
          <w:rFonts w:ascii="宋体" w:hAnsi="宋体" w:cs="宋体"/>
        </w:rPr>
      </w:pPr>
      <w:r>
        <w:rPr>
          <w:rFonts w:hint="eastAsia" w:ascii="宋体" w:hAnsi="宋体" w:cs="宋体"/>
          <w:b/>
          <w:bCs/>
        </w:rPr>
        <w:t>2、不</w:t>
      </w:r>
      <w:r>
        <w:rPr>
          <w:rFonts w:hint="eastAsia"/>
          <w:b/>
          <w:bCs/>
        </w:rPr>
        <w:t>良事件管理系统运维服务</w:t>
      </w:r>
      <w:bookmarkEnd w:id="4"/>
      <w:bookmarkEnd w:id="5"/>
      <w:bookmarkEnd w:id="6"/>
      <w:r>
        <w:rPr>
          <w:rFonts w:hint="eastAsia"/>
          <w:b/>
          <w:bCs/>
        </w:rPr>
        <w:t>要求</w:t>
      </w:r>
    </w:p>
    <w:p>
      <w:pPr>
        <w:widowControl/>
        <w:spacing w:line="360" w:lineRule="auto"/>
        <w:ind w:left="426"/>
        <w:rPr>
          <w:rFonts w:ascii="宋体" w:hAnsi="宋体" w:cs="宋体"/>
          <w:b/>
          <w:color w:val="000000"/>
          <w:kern w:val="0"/>
        </w:rPr>
      </w:pPr>
      <w:r>
        <w:rPr>
          <w:rFonts w:hint="eastAsia" w:ascii="宋体" w:hAnsi="宋体" w:cs="宋体"/>
          <w:b/>
          <w:color w:val="000000"/>
          <w:kern w:val="0"/>
        </w:rPr>
        <w:t>2.1日常维护</w:t>
      </w:r>
    </w:p>
    <w:p>
      <w:pPr>
        <w:widowControl/>
        <w:spacing w:line="360" w:lineRule="auto"/>
        <w:ind w:firstLine="480"/>
        <w:rPr>
          <w:rFonts w:ascii="宋体" w:hAnsi="宋体"/>
        </w:rPr>
      </w:pPr>
      <w:r>
        <w:rPr>
          <w:rFonts w:hint="eastAsia" w:ascii="宋体" w:hAnsi="宋体"/>
        </w:rPr>
        <w:t>根据对不良事件管理系统的了解及经验，</w:t>
      </w:r>
      <w:r>
        <w:rPr>
          <w:rFonts w:hint="eastAsia" w:ascii="宋体" w:hAnsi="宋体" w:cs="宋体"/>
          <w:color w:val="000000"/>
          <w:kern w:val="0"/>
        </w:rPr>
        <w:t>按照医院管理规范，对医院</w:t>
      </w:r>
      <w:r>
        <w:rPr>
          <w:rFonts w:hint="eastAsia" w:ascii="宋体" w:hAnsi="宋体"/>
        </w:rPr>
        <w:t>不良事件管理系统</w:t>
      </w:r>
      <w:r>
        <w:rPr>
          <w:rFonts w:hint="eastAsia" w:ascii="宋体" w:hAnsi="宋体" w:cs="宋体"/>
          <w:color w:val="000000"/>
          <w:kern w:val="0"/>
        </w:rPr>
        <w:t>提供维护服务，保障系统日常稳定运行，</w:t>
      </w:r>
      <w:r>
        <w:rPr>
          <w:rFonts w:hint="eastAsia" w:ascii="宋体" w:hAnsi="宋体"/>
        </w:rPr>
        <w:t>具体要求如下：</w:t>
      </w:r>
    </w:p>
    <w:p>
      <w:pPr>
        <w:pStyle w:val="94"/>
        <w:widowControl/>
        <w:spacing w:line="360" w:lineRule="auto"/>
        <w:ind w:firstLineChars="0"/>
        <w:rPr>
          <w:rFonts w:ascii="宋体" w:hAnsi="宋体" w:cs="宋体"/>
          <w:color w:val="000000"/>
          <w:kern w:val="0"/>
        </w:rPr>
      </w:pPr>
      <w:r>
        <w:rPr>
          <w:rFonts w:hint="eastAsia" w:ascii="宋体" w:hAnsi="宋体" w:cs="宋体"/>
          <w:color w:val="000000"/>
          <w:kern w:val="0"/>
        </w:rPr>
        <w:t>2.1.1要求保障应用正常运行，完成系统现有功能模块BUG和日常使用问题的处理；</w:t>
      </w:r>
    </w:p>
    <w:p>
      <w:pPr>
        <w:pStyle w:val="94"/>
        <w:widowControl/>
        <w:spacing w:line="360" w:lineRule="auto"/>
        <w:ind w:firstLineChars="0"/>
        <w:rPr>
          <w:rFonts w:ascii="宋体" w:hAnsi="宋体" w:cs="宋体"/>
          <w:color w:val="000000"/>
          <w:kern w:val="0"/>
        </w:rPr>
      </w:pPr>
      <w:r>
        <w:rPr>
          <w:rFonts w:hint="eastAsia" w:ascii="宋体" w:hAnsi="宋体" w:cs="宋体"/>
          <w:color w:val="000000"/>
          <w:kern w:val="0"/>
        </w:rPr>
        <w:t>2.1.2要求提供每年两次的应用系统巡检。</w:t>
      </w:r>
    </w:p>
    <w:p>
      <w:pPr>
        <w:widowControl/>
        <w:spacing w:line="360" w:lineRule="auto"/>
        <w:ind w:left="426"/>
        <w:rPr>
          <w:rFonts w:ascii="宋体" w:hAnsi="宋体" w:cs="宋体"/>
          <w:b/>
          <w:color w:val="000000"/>
          <w:kern w:val="0"/>
        </w:rPr>
      </w:pPr>
      <w:r>
        <w:rPr>
          <w:rFonts w:hint="eastAsia" w:ascii="宋体" w:hAnsi="宋体" w:cs="宋体"/>
          <w:b/>
          <w:color w:val="000000"/>
          <w:kern w:val="0"/>
        </w:rPr>
        <w:t>2.2故障处理</w:t>
      </w:r>
    </w:p>
    <w:p>
      <w:pPr>
        <w:spacing w:line="360" w:lineRule="auto"/>
        <w:ind w:firstLine="480"/>
        <w:rPr>
          <w:rFonts w:ascii="等线" w:hAnsi="等线"/>
        </w:rPr>
      </w:pPr>
      <w:r>
        <w:rPr>
          <w:rFonts w:hint="eastAsia" w:ascii="等线" w:hAnsi="等线"/>
        </w:rPr>
        <w:t>严格按照故障处理流程，对现场发生的故障及时做出判断，使故障能在最短的时间内得到解决。具体要求如下：</w:t>
      </w:r>
    </w:p>
    <w:p>
      <w:pPr>
        <w:spacing w:line="360" w:lineRule="auto"/>
        <w:ind w:firstLine="480"/>
        <w:rPr>
          <w:rFonts w:ascii="宋体" w:hAnsi="宋体"/>
        </w:rPr>
      </w:pPr>
      <w:r>
        <w:rPr>
          <w:rFonts w:hint="eastAsia" w:ascii="宋体" w:hAnsi="宋体"/>
        </w:rPr>
        <w:t>2.2.1要求提供电话响应、远程技术支持、现场服务等多种故障修复服务方式；</w:t>
      </w:r>
    </w:p>
    <w:p>
      <w:pPr>
        <w:spacing w:line="360" w:lineRule="auto"/>
        <w:ind w:firstLine="480"/>
        <w:rPr>
          <w:rFonts w:ascii="宋体" w:hAnsi="宋体"/>
        </w:rPr>
      </w:pPr>
      <w:r>
        <w:rPr>
          <w:rFonts w:hint="eastAsia" w:ascii="宋体" w:hAnsi="宋体"/>
        </w:rPr>
        <w:t>2.2.2要求提供电话在线服务，以便于用户随时进行故障报修；</w:t>
      </w:r>
    </w:p>
    <w:p>
      <w:pPr>
        <w:spacing w:line="360" w:lineRule="auto"/>
        <w:ind w:firstLine="480"/>
        <w:rPr>
          <w:rFonts w:ascii="宋体" w:hAnsi="宋体"/>
        </w:rPr>
      </w:pPr>
      <w:r>
        <w:rPr>
          <w:rFonts w:hint="eastAsia" w:ascii="宋体" w:hAnsi="宋体"/>
        </w:rPr>
        <w:t>2.2.3要求出现一般故障（指不影响正常业务的功能性故障）时在1个工作日内响应，在3个工作日内完成修复，出现紧急故障（指影响了日常业务使用的故障）时在2小时内到达现场，在2小时内完成修复，如果2小时内问题仍然无法解决，启动应急预案并派出由资深团队到现场协作解决；</w:t>
      </w:r>
    </w:p>
    <w:p>
      <w:pPr>
        <w:spacing w:line="360" w:lineRule="auto"/>
        <w:ind w:firstLine="480"/>
        <w:rPr>
          <w:rFonts w:ascii="宋体" w:hAnsi="宋体"/>
        </w:rPr>
      </w:pPr>
      <w:r>
        <w:rPr>
          <w:rFonts w:hint="eastAsia" w:ascii="宋体" w:hAnsi="宋体"/>
        </w:rPr>
        <w:t>2.2.4故障处理以迅速恢复服务为首要目标，恢复正常后，应进一步采取纠正预防措施，避免类似故障的反复发生；</w:t>
      </w:r>
    </w:p>
    <w:p>
      <w:pPr>
        <w:spacing w:line="360" w:lineRule="auto"/>
        <w:ind w:firstLine="480"/>
        <w:rPr>
          <w:rFonts w:ascii="宋体" w:hAnsi="宋体"/>
        </w:rPr>
      </w:pPr>
      <w:r>
        <w:rPr>
          <w:rFonts w:hint="eastAsia" w:ascii="宋体" w:hAnsi="宋体"/>
        </w:rPr>
        <w:t>2.2.5要求在现场处理事件时，严格遵守用户相关规定，在需要做出变更等重大操作前均提前告知用户方案情况，获得许可后再进行变更；</w:t>
      </w:r>
    </w:p>
    <w:p>
      <w:pPr>
        <w:spacing w:line="360" w:lineRule="auto"/>
        <w:ind w:firstLine="480"/>
        <w:rPr>
          <w:rFonts w:ascii="宋体" w:hAnsi="宋体"/>
        </w:rPr>
      </w:pPr>
      <w:r>
        <w:rPr>
          <w:rFonts w:hint="eastAsia" w:ascii="宋体" w:hAnsi="宋体"/>
        </w:rPr>
        <w:t>2.2.6要求在故障处理完成后，向用户提交《故障处理报告》，详细说明故障原因、处理过程、解决办法、预防措施等内容；</w:t>
      </w:r>
    </w:p>
    <w:p>
      <w:pPr>
        <w:widowControl/>
        <w:spacing w:line="360" w:lineRule="auto"/>
        <w:ind w:firstLine="480"/>
        <w:rPr>
          <w:rFonts w:ascii="宋体" w:hAnsi="宋体" w:cs="宋体"/>
          <w:color w:val="000000"/>
          <w:kern w:val="0"/>
        </w:rPr>
      </w:pPr>
      <w:r>
        <w:rPr>
          <w:rFonts w:hint="eastAsia" w:ascii="宋体" w:hAnsi="宋体"/>
        </w:rPr>
        <w:t>2.2.7系统恢复正常后，应对系统进行持续跟踪，避免遗留问题。</w:t>
      </w:r>
    </w:p>
    <w:p>
      <w:pPr>
        <w:widowControl/>
        <w:spacing w:line="360" w:lineRule="auto"/>
        <w:ind w:left="426"/>
        <w:rPr>
          <w:rFonts w:ascii="宋体" w:hAnsi="宋体" w:cs="宋体"/>
          <w:b/>
          <w:color w:val="000000"/>
          <w:kern w:val="0"/>
        </w:rPr>
      </w:pPr>
      <w:r>
        <w:rPr>
          <w:rFonts w:hint="eastAsia" w:ascii="宋体" w:hAnsi="宋体" w:cs="宋体"/>
          <w:b/>
          <w:color w:val="000000"/>
          <w:kern w:val="0"/>
        </w:rPr>
        <w:t>2.3技术支持</w:t>
      </w:r>
    </w:p>
    <w:p>
      <w:pPr>
        <w:spacing w:line="360" w:lineRule="auto"/>
        <w:ind w:firstLine="480"/>
        <w:rPr>
          <w:rFonts w:ascii="等线" w:hAnsi="等线"/>
        </w:rPr>
      </w:pPr>
      <w:r>
        <w:rPr>
          <w:rFonts w:hint="eastAsia" w:ascii="宋体" w:hAnsi="宋体" w:cs="宋体"/>
          <w:color w:val="000000"/>
          <w:kern w:val="0"/>
        </w:rPr>
        <w:t>要求提供维护人员巡查服务，</w:t>
      </w:r>
      <w:r>
        <w:rPr>
          <w:rFonts w:hint="eastAsia" w:ascii="等线" w:hAnsi="等线"/>
        </w:rPr>
        <w:t>提供</w:t>
      </w:r>
      <w:r>
        <w:rPr>
          <w:rFonts w:hint="eastAsia" w:ascii="宋体" w:hAnsi="宋体" w:cs="宋体"/>
          <w:color w:val="000000"/>
          <w:kern w:val="0"/>
        </w:rPr>
        <w:t>不良事件管理系统</w:t>
      </w:r>
      <w:r>
        <w:rPr>
          <w:rFonts w:hint="eastAsia" w:ascii="等线" w:hAnsi="等线"/>
        </w:rPr>
        <w:t>轮巡、系统故障处理等服务，以便出现故障时及时响应，将影响降至最低。</w:t>
      </w:r>
    </w:p>
    <w:p>
      <w:pPr>
        <w:ind w:firstLine="422" w:firstLineChars="200"/>
        <w:rPr>
          <w:rFonts w:ascii="宋体" w:hAnsi="宋体" w:cs="宋体"/>
          <w:b/>
          <w:bCs/>
        </w:rPr>
      </w:pPr>
      <w:bookmarkStart w:id="7" w:name="_Toc80777476"/>
      <w:bookmarkStart w:id="8" w:name="_Toc235817846"/>
    </w:p>
    <w:p>
      <w:pPr>
        <w:ind w:firstLine="422" w:firstLineChars="200"/>
        <w:rPr>
          <w:rFonts w:ascii="宋体" w:hAnsi="宋体" w:cs="宋体"/>
        </w:rPr>
      </w:pPr>
      <w:r>
        <w:rPr>
          <w:rFonts w:hint="eastAsia" w:ascii="宋体" w:hAnsi="宋体" w:cs="宋体"/>
          <w:b/>
          <w:bCs/>
        </w:rPr>
        <w:t>3、麻醉临床信息系统运维服务</w:t>
      </w:r>
      <w:bookmarkEnd w:id="7"/>
      <w:bookmarkEnd w:id="8"/>
      <w:r>
        <w:rPr>
          <w:rFonts w:hint="eastAsia" w:ascii="宋体" w:hAnsi="宋体" w:cs="宋体"/>
          <w:b/>
          <w:bCs/>
        </w:rPr>
        <w:t>要求</w:t>
      </w:r>
    </w:p>
    <w:p>
      <w:pPr>
        <w:widowControl/>
        <w:spacing w:line="360" w:lineRule="auto"/>
        <w:ind w:firstLine="422" w:firstLineChars="200"/>
        <w:rPr>
          <w:rFonts w:ascii="宋体" w:hAnsi="宋体" w:cs="宋体"/>
          <w:b/>
          <w:color w:val="000000"/>
          <w:kern w:val="0"/>
        </w:rPr>
      </w:pPr>
      <w:r>
        <w:rPr>
          <w:rFonts w:hint="eastAsia" w:ascii="宋体" w:hAnsi="宋体" w:cs="宋体"/>
          <w:b/>
          <w:color w:val="000000"/>
          <w:kern w:val="0"/>
        </w:rPr>
        <w:t>3.1日常维护</w:t>
      </w:r>
    </w:p>
    <w:p>
      <w:pPr>
        <w:widowControl/>
        <w:spacing w:line="360" w:lineRule="auto"/>
        <w:ind w:firstLine="480"/>
        <w:rPr>
          <w:rFonts w:ascii="等线" w:hAnsi="等线"/>
        </w:rPr>
      </w:pPr>
      <w:r>
        <w:rPr>
          <w:rFonts w:hint="eastAsia" w:ascii="等线" w:hAnsi="等线"/>
        </w:rPr>
        <w:t>根据对麻醉临床信息系统的了解及经验，</w:t>
      </w:r>
      <w:r>
        <w:rPr>
          <w:rFonts w:hint="eastAsia" w:ascii="宋体" w:hAnsi="宋体" w:cs="宋体"/>
          <w:color w:val="000000"/>
          <w:kern w:val="0"/>
        </w:rPr>
        <w:t>按照医院管理规范，对医院</w:t>
      </w:r>
      <w:r>
        <w:rPr>
          <w:rFonts w:hint="eastAsia" w:ascii="等线" w:hAnsi="等线"/>
        </w:rPr>
        <w:t>麻醉临床信息系统</w:t>
      </w:r>
      <w:r>
        <w:rPr>
          <w:rFonts w:hint="eastAsia" w:ascii="宋体" w:hAnsi="宋体" w:cs="宋体"/>
          <w:color w:val="000000"/>
          <w:kern w:val="0"/>
        </w:rPr>
        <w:t>提供维护服务，保障系统日常稳定运行，</w:t>
      </w:r>
      <w:r>
        <w:rPr>
          <w:rFonts w:hint="eastAsia" w:ascii="等线" w:hAnsi="等线"/>
        </w:rPr>
        <w:t>具体要求如下：</w:t>
      </w:r>
    </w:p>
    <w:p>
      <w:pPr>
        <w:widowControl/>
        <w:spacing w:line="360" w:lineRule="auto"/>
        <w:ind w:firstLine="480"/>
        <w:rPr>
          <w:rFonts w:ascii="宋体" w:hAnsi="宋体"/>
        </w:rPr>
      </w:pPr>
      <w:r>
        <w:rPr>
          <w:rFonts w:hint="eastAsia" w:ascii="宋体" w:hAnsi="宋体"/>
        </w:rPr>
        <w:t>3.1.1要求保障应用正常运行，完成系统现有功能模块BUG和日常使用问题的处理；</w:t>
      </w:r>
    </w:p>
    <w:p>
      <w:pPr>
        <w:widowControl/>
        <w:spacing w:line="360" w:lineRule="auto"/>
        <w:ind w:firstLine="480"/>
        <w:rPr>
          <w:rFonts w:ascii="宋体" w:hAnsi="宋体"/>
        </w:rPr>
      </w:pPr>
      <w:r>
        <w:rPr>
          <w:rFonts w:hint="eastAsia" w:ascii="宋体" w:hAnsi="宋体"/>
        </w:rPr>
        <w:t>3.1.2要求提供每年两次的应用系统巡检。</w:t>
      </w:r>
    </w:p>
    <w:p>
      <w:pPr>
        <w:widowControl/>
        <w:spacing w:line="360" w:lineRule="auto"/>
        <w:ind w:firstLine="422" w:firstLineChars="200"/>
        <w:rPr>
          <w:rFonts w:ascii="宋体" w:hAnsi="宋体" w:cs="宋体"/>
          <w:b/>
          <w:color w:val="000000"/>
          <w:kern w:val="0"/>
        </w:rPr>
      </w:pPr>
      <w:r>
        <w:rPr>
          <w:rFonts w:hint="eastAsia" w:ascii="宋体" w:hAnsi="宋体" w:cs="宋体"/>
          <w:b/>
          <w:color w:val="000000"/>
          <w:kern w:val="0"/>
        </w:rPr>
        <w:t>3.2故障处理</w:t>
      </w:r>
    </w:p>
    <w:p>
      <w:pPr>
        <w:spacing w:line="360" w:lineRule="auto"/>
        <w:ind w:firstLine="480"/>
        <w:rPr>
          <w:rFonts w:ascii="宋体" w:hAnsi="宋体"/>
        </w:rPr>
      </w:pPr>
      <w:r>
        <w:rPr>
          <w:rFonts w:hint="eastAsia" w:ascii="宋体" w:hAnsi="宋体"/>
        </w:rPr>
        <w:t>严格按照故障处理流程，对现场发生的故障及时做出判断，使故障能在最短的时间内得到解决。具体要求如下：</w:t>
      </w:r>
    </w:p>
    <w:p>
      <w:pPr>
        <w:spacing w:line="360" w:lineRule="auto"/>
        <w:ind w:firstLine="480"/>
        <w:rPr>
          <w:rFonts w:ascii="宋体" w:hAnsi="宋体"/>
        </w:rPr>
      </w:pPr>
      <w:r>
        <w:rPr>
          <w:rFonts w:hint="eastAsia" w:ascii="宋体" w:hAnsi="宋体"/>
        </w:rPr>
        <w:t>3.2.1要求提供电话响应、远程技术支持、现场服务等多种故障修复服务方式；</w:t>
      </w:r>
    </w:p>
    <w:p>
      <w:pPr>
        <w:spacing w:line="360" w:lineRule="auto"/>
        <w:ind w:firstLine="480"/>
        <w:rPr>
          <w:rFonts w:ascii="宋体" w:hAnsi="宋体"/>
        </w:rPr>
      </w:pPr>
      <w:r>
        <w:rPr>
          <w:rFonts w:hint="eastAsia" w:ascii="宋体" w:hAnsi="宋体"/>
        </w:rPr>
        <w:t>3.2.2要求提供电话在线服务，以便于用户随时进行故障报修；</w:t>
      </w:r>
    </w:p>
    <w:p>
      <w:pPr>
        <w:spacing w:line="360" w:lineRule="auto"/>
        <w:ind w:firstLine="480"/>
        <w:rPr>
          <w:rFonts w:ascii="宋体" w:hAnsi="宋体"/>
        </w:rPr>
      </w:pPr>
      <w:r>
        <w:rPr>
          <w:rFonts w:hint="eastAsia" w:ascii="宋体" w:hAnsi="宋体"/>
        </w:rPr>
        <w:t>3.2.3要求出现一般故障（指不影响正常业务的功能性故障）时在1个工作日内响应，在3个工作日内完成修复，出现紧急故障（指影响了日常业务使用的故障）时在2小时内到达现场，在2小时内完成修复，如果2小时内问题仍然无法解决，启动应急预案并派出由资深团队到现场协作解决；</w:t>
      </w:r>
    </w:p>
    <w:p>
      <w:pPr>
        <w:spacing w:line="360" w:lineRule="auto"/>
        <w:ind w:firstLine="480"/>
        <w:rPr>
          <w:rFonts w:ascii="宋体" w:hAnsi="宋体"/>
        </w:rPr>
      </w:pPr>
      <w:r>
        <w:rPr>
          <w:rFonts w:hint="eastAsia" w:ascii="宋体" w:hAnsi="宋体"/>
        </w:rPr>
        <w:t>3.2.4故障处理以迅速恢复服务为首要目标，恢复正常后，应进一步采取纠正预防措施，避免类似故障的反复发生；</w:t>
      </w:r>
    </w:p>
    <w:p>
      <w:pPr>
        <w:spacing w:line="360" w:lineRule="auto"/>
        <w:ind w:firstLine="480"/>
        <w:rPr>
          <w:rFonts w:ascii="宋体" w:hAnsi="宋体"/>
        </w:rPr>
      </w:pPr>
      <w:r>
        <w:rPr>
          <w:rFonts w:hint="eastAsia" w:ascii="宋体" w:hAnsi="宋体"/>
        </w:rPr>
        <w:t>3.2.5要求在现场处理事件时，严格遵守用户相关规定，在需要做出变更等重大操作前均提前告知用户方案情况，获得许可后再进行变更；</w:t>
      </w:r>
    </w:p>
    <w:p>
      <w:pPr>
        <w:spacing w:line="360" w:lineRule="auto"/>
        <w:ind w:firstLine="480"/>
        <w:rPr>
          <w:rFonts w:ascii="宋体" w:hAnsi="宋体"/>
        </w:rPr>
      </w:pPr>
      <w:r>
        <w:rPr>
          <w:rFonts w:hint="eastAsia" w:ascii="宋体" w:hAnsi="宋体"/>
        </w:rPr>
        <w:t>3.2.6要求在故障处理完成后，向用户提交《故障处理报告》，详细说明故障原因、处理过程、解决办法、预防措施等内容；</w:t>
      </w:r>
    </w:p>
    <w:p>
      <w:pPr>
        <w:widowControl/>
        <w:spacing w:line="360" w:lineRule="auto"/>
        <w:ind w:firstLine="480"/>
        <w:rPr>
          <w:rFonts w:ascii="宋体" w:hAnsi="宋体"/>
        </w:rPr>
      </w:pPr>
      <w:r>
        <w:rPr>
          <w:rFonts w:hint="eastAsia" w:ascii="宋体" w:hAnsi="宋体"/>
        </w:rPr>
        <w:t>3.2.7系统恢复正常后，应对系统进行持续跟踪，避免遗留问题。</w:t>
      </w:r>
    </w:p>
    <w:p>
      <w:pPr>
        <w:widowControl/>
        <w:spacing w:line="360" w:lineRule="auto"/>
        <w:ind w:firstLine="422" w:firstLineChars="200"/>
        <w:rPr>
          <w:rFonts w:ascii="宋体" w:hAnsi="宋体" w:cs="宋体"/>
          <w:b/>
          <w:color w:val="000000"/>
          <w:kern w:val="0"/>
        </w:rPr>
      </w:pPr>
      <w:r>
        <w:rPr>
          <w:rFonts w:hint="eastAsia" w:ascii="宋体" w:hAnsi="宋体" w:cs="宋体"/>
          <w:b/>
          <w:color w:val="000000"/>
          <w:kern w:val="0"/>
        </w:rPr>
        <w:t>3.3技术支持</w:t>
      </w:r>
    </w:p>
    <w:p>
      <w:pPr>
        <w:spacing w:line="360" w:lineRule="auto"/>
        <w:ind w:firstLine="480"/>
        <w:rPr>
          <w:rFonts w:ascii="等线" w:hAnsi="等线"/>
        </w:rPr>
      </w:pPr>
      <w:r>
        <w:rPr>
          <w:rFonts w:hint="eastAsia" w:ascii="宋体" w:hAnsi="宋体" w:cs="宋体"/>
          <w:color w:val="000000"/>
          <w:kern w:val="0"/>
        </w:rPr>
        <w:t>要求提供维护人员巡查服务，</w:t>
      </w:r>
      <w:r>
        <w:rPr>
          <w:rFonts w:hint="eastAsia" w:ascii="等线" w:hAnsi="等线"/>
        </w:rPr>
        <w:t>提供</w:t>
      </w:r>
      <w:r>
        <w:rPr>
          <w:rFonts w:hint="eastAsia" w:ascii="宋体" w:hAnsi="宋体" w:cs="宋体"/>
          <w:color w:val="000000"/>
          <w:kern w:val="0"/>
        </w:rPr>
        <w:t>麻醉临床信息系统</w:t>
      </w:r>
      <w:r>
        <w:rPr>
          <w:rFonts w:hint="eastAsia" w:ascii="等线" w:hAnsi="等线"/>
        </w:rPr>
        <w:t>轮巡、系统故障处理等服务，以便出现故障时及时响应，将影响降至最低。</w:t>
      </w:r>
    </w:p>
    <w:p>
      <w:pPr>
        <w:ind w:firstLine="422" w:firstLineChars="200"/>
        <w:rPr>
          <w:rFonts w:ascii="宋体" w:hAnsi="宋体" w:cs="宋体"/>
          <w:b/>
          <w:bCs/>
        </w:rPr>
      </w:pPr>
      <w:bookmarkStart w:id="9" w:name="_Toc1283209007"/>
      <w:bookmarkStart w:id="10" w:name="_Toc80777477"/>
    </w:p>
    <w:p>
      <w:pPr>
        <w:ind w:firstLine="422" w:firstLineChars="200"/>
        <w:rPr>
          <w:rFonts w:ascii="宋体" w:hAnsi="宋体" w:cs="宋体"/>
          <w:b/>
          <w:bCs/>
        </w:rPr>
      </w:pPr>
      <w:r>
        <w:rPr>
          <w:rFonts w:hint="eastAsia" w:ascii="宋体" w:hAnsi="宋体" w:cs="宋体"/>
          <w:b/>
          <w:bCs/>
        </w:rPr>
        <w:t>4、移动护理系统运维服务</w:t>
      </w:r>
      <w:bookmarkEnd w:id="9"/>
      <w:bookmarkEnd w:id="10"/>
      <w:r>
        <w:rPr>
          <w:rFonts w:hint="eastAsia" w:ascii="宋体" w:hAnsi="宋体" w:cs="宋体"/>
          <w:b/>
          <w:bCs/>
        </w:rPr>
        <w:t>要求</w:t>
      </w:r>
    </w:p>
    <w:p>
      <w:pPr>
        <w:widowControl/>
        <w:spacing w:line="360" w:lineRule="auto"/>
        <w:ind w:firstLine="422" w:firstLineChars="200"/>
        <w:rPr>
          <w:rFonts w:ascii="宋体" w:hAnsi="宋体" w:cs="宋体"/>
          <w:b/>
          <w:color w:val="000000"/>
          <w:kern w:val="0"/>
        </w:rPr>
      </w:pPr>
      <w:r>
        <w:rPr>
          <w:rFonts w:hint="eastAsia" w:ascii="宋体" w:hAnsi="宋体" w:cs="宋体"/>
          <w:b/>
          <w:color w:val="000000"/>
          <w:kern w:val="0"/>
        </w:rPr>
        <w:t>4.1日常维护</w:t>
      </w:r>
    </w:p>
    <w:p>
      <w:pPr>
        <w:widowControl/>
        <w:spacing w:line="360" w:lineRule="auto"/>
        <w:ind w:firstLine="480"/>
        <w:rPr>
          <w:rFonts w:ascii="等线" w:hAnsi="等线"/>
        </w:rPr>
      </w:pPr>
      <w:r>
        <w:rPr>
          <w:rFonts w:hint="eastAsia" w:ascii="等线" w:hAnsi="等线"/>
        </w:rPr>
        <w:t>根据对移动护理系统的了解及经验，</w:t>
      </w:r>
      <w:r>
        <w:rPr>
          <w:rFonts w:hint="eastAsia" w:ascii="宋体" w:hAnsi="宋体" w:cs="宋体"/>
          <w:color w:val="000000"/>
          <w:kern w:val="0"/>
        </w:rPr>
        <w:t>按照医院管理规范，对医院</w:t>
      </w:r>
      <w:r>
        <w:rPr>
          <w:rFonts w:hint="eastAsia" w:ascii="等线" w:hAnsi="等线"/>
        </w:rPr>
        <w:t>移动护理系统</w:t>
      </w:r>
      <w:r>
        <w:rPr>
          <w:rFonts w:hint="eastAsia" w:ascii="宋体" w:hAnsi="宋体" w:cs="宋体"/>
          <w:color w:val="000000"/>
          <w:kern w:val="0"/>
        </w:rPr>
        <w:t>提供维护服务，保障系统日常稳定运行，</w:t>
      </w:r>
      <w:r>
        <w:rPr>
          <w:rFonts w:hint="eastAsia" w:ascii="等线" w:hAnsi="等线"/>
        </w:rPr>
        <w:t>具体要求如下：</w:t>
      </w:r>
    </w:p>
    <w:p>
      <w:pPr>
        <w:spacing w:line="360" w:lineRule="auto"/>
        <w:ind w:firstLine="480"/>
        <w:rPr>
          <w:rFonts w:ascii="宋体" w:hAnsi="宋体" w:cs="宋体"/>
        </w:rPr>
      </w:pPr>
      <w:r>
        <w:rPr>
          <w:rFonts w:hint="eastAsia" w:ascii="宋体" w:hAnsi="宋体" w:cs="宋体"/>
        </w:rPr>
        <w:t>4.1.1要求保障应用正常运行，完成系统现有功能模块BUG和日常使用问题的处理；</w:t>
      </w:r>
    </w:p>
    <w:p>
      <w:pPr>
        <w:spacing w:line="360" w:lineRule="auto"/>
        <w:ind w:firstLine="480"/>
      </w:pPr>
      <w:r>
        <w:rPr>
          <w:rFonts w:hint="eastAsia" w:ascii="宋体" w:hAnsi="宋体" w:cs="宋体"/>
        </w:rPr>
        <w:t>4.1.2要</w:t>
      </w:r>
      <w:r>
        <w:rPr>
          <w:rFonts w:hint="eastAsia"/>
        </w:rPr>
        <w:t>求提供每年两次的应用系统巡检。</w:t>
      </w:r>
    </w:p>
    <w:p>
      <w:pPr>
        <w:widowControl/>
        <w:spacing w:line="360" w:lineRule="auto"/>
        <w:ind w:firstLine="422" w:firstLineChars="200"/>
        <w:rPr>
          <w:rFonts w:ascii="宋体" w:hAnsi="宋体" w:cs="宋体"/>
          <w:b/>
          <w:color w:val="000000"/>
          <w:kern w:val="0"/>
        </w:rPr>
      </w:pPr>
      <w:r>
        <w:rPr>
          <w:rFonts w:hint="eastAsia" w:ascii="宋体" w:hAnsi="宋体" w:cs="宋体"/>
          <w:b/>
          <w:color w:val="000000"/>
          <w:kern w:val="0"/>
        </w:rPr>
        <w:t>4.2故障处理</w:t>
      </w:r>
    </w:p>
    <w:p>
      <w:pPr>
        <w:spacing w:line="360" w:lineRule="auto"/>
        <w:ind w:firstLine="480"/>
        <w:rPr>
          <w:rFonts w:ascii="等线" w:hAnsi="等线"/>
        </w:rPr>
      </w:pPr>
      <w:r>
        <w:rPr>
          <w:rFonts w:hint="eastAsia" w:ascii="等线" w:hAnsi="等线"/>
        </w:rPr>
        <w:t>严格按照故障处理流程，对现场发生的故障及时做出判断，使故障能在最短的时间内得到解决。具体要求如下：</w:t>
      </w:r>
    </w:p>
    <w:p>
      <w:pPr>
        <w:spacing w:line="360" w:lineRule="auto"/>
        <w:ind w:firstLine="480"/>
        <w:rPr>
          <w:rFonts w:ascii="宋体" w:hAnsi="宋体"/>
        </w:rPr>
      </w:pPr>
      <w:r>
        <w:rPr>
          <w:rFonts w:hint="eastAsia" w:ascii="宋体" w:hAnsi="宋体"/>
        </w:rPr>
        <w:t>4.2.1要求提供电话响应、远程技术支持、现场服务等多种故障修复服务方式；</w:t>
      </w:r>
    </w:p>
    <w:p>
      <w:pPr>
        <w:spacing w:line="360" w:lineRule="auto"/>
        <w:ind w:firstLine="480"/>
        <w:rPr>
          <w:rFonts w:ascii="宋体" w:hAnsi="宋体"/>
        </w:rPr>
      </w:pPr>
      <w:r>
        <w:rPr>
          <w:rFonts w:hint="eastAsia" w:ascii="宋体" w:hAnsi="宋体"/>
        </w:rPr>
        <w:t>4.2.2要求提供电话在线服务，以便于用户随时进行故障报修；</w:t>
      </w:r>
    </w:p>
    <w:p>
      <w:pPr>
        <w:spacing w:line="360" w:lineRule="auto"/>
        <w:ind w:firstLine="480"/>
        <w:rPr>
          <w:rFonts w:ascii="宋体" w:hAnsi="宋体"/>
        </w:rPr>
      </w:pPr>
      <w:r>
        <w:rPr>
          <w:rFonts w:hint="eastAsia" w:ascii="宋体" w:hAnsi="宋体"/>
        </w:rPr>
        <w:t>4.2.3要求出现一般故障（指不影响正常业务的功能性故障）时在1个工作日内响应，在3个工作日内完成修复，出现紧急故障（指影响了日常业务使用的故障）时在2小时内到达现场，在2小时内完成修复，如果2小时内问题仍然无法解决，启动应急预案并派出由资深团队到现场协作解决；</w:t>
      </w:r>
    </w:p>
    <w:p>
      <w:pPr>
        <w:spacing w:line="360" w:lineRule="auto"/>
        <w:ind w:firstLine="480"/>
        <w:rPr>
          <w:rFonts w:ascii="宋体" w:hAnsi="宋体"/>
        </w:rPr>
      </w:pPr>
      <w:r>
        <w:rPr>
          <w:rFonts w:hint="eastAsia" w:ascii="宋体" w:hAnsi="宋体"/>
        </w:rPr>
        <w:t>4.2.4要求故障处理以迅速恢复服务为首要目标，恢复正常后，将进一步采取纠正预防措施，避免类似故障的反复发生；</w:t>
      </w:r>
    </w:p>
    <w:p>
      <w:pPr>
        <w:spacing w:line="360" w:lineRule="auto"/>
        <w:ind w:firstLine="480"/>
        <w:rPr>
          <w:rFonts w:ascii="宋体" w:hAnsi="宋体"/>
        </w:rPr>
      </w:pPr>
      <w:r>
        <w:rPr>
          <w:rFonts w:hint="eastAsia" w:ascii="宋体" w:hAnsi="宋体"/>
        </w:rPr>
        <w:t>4.2.5要求在现场处理事件时，严格遵守用户相关规定，在需要做出变更等重大操作前均提前告知用户方案情况，获得许可后再进行变更；</w:t>
      </w:r>
    </w:p>
    <w:p>
      <w:pPr>
        <w:spacing w:line="360" w:lineRule="auto"/>
        <w:ind w:firstLine="480"/>
        <w:rPr>
          <w:rFonts w:ascii="宋体" w:hAnsi="宋体"/>
        </w:rPr>
      </w:pPr>
      <w:r>
        <w:rPr>
          <w:rFonts w:hint="eastAsia" w:ascii="宋体" w:hAnsi="宋体"/>
        </w:rPr>
        <w:t>4.2.6要求在故障处理完成后，向用户提交《故障处理报告》，详细说明故障原因、处理过程、解决办法、预防措施等内容；</w:t>
      </w:r>
    </w:p>
    <w:p>
      <w:pPr>
        <w:widowControl/>
        <w:spacing w:line="360" w:lineRule="auto"/>
        <w:ind w:firstLine="480"/>
        <w:rPr>
          <w:rFonts w:ascii="宋体" w:hAnsi="宋体" w:cs="宋体"/>
          <w:color w:val="000000"/>
          <w:kern w:val="0"/>
        </w:rPr>
      </w:pPr>
      <w:r>
        <w:rPr>
          <w:rFonts w:hint="eastAsia" w:ascii="宋体" w:hAnsi="宋体"/>
        </w:rPr>
        <w:t>4.2.7系统恢复正常后，应对系统进行持续跟踪，避免遗留问题。</w:t>
      </w:r>
    </w:p>
    <w:p>
      <w:pPr>
        <w:widowControl/>
        <w:spacing w:line="360" w:lineRule="auto"/>
        <w:ind w:firstLine="422" w:firstLineChars="200"/>
        <w:rPr>
          <w:rFonts w:ascii="宋体" w:hAnsi="宋体" w:cs="宋体"/>
          <w:b/>
          <w:color w:val="000000"/>
          <w:kern w:val="0"/>
        </w:rPr>
      </w:pPr>
      <w:r>
        <w:rPr>
          <w:rFonts w:hint="eastAsia" w:ascii="宋体" w:hAnsi="宋体" w:cs="宋体"/>
          <w:b/>
          <w:color w:val="000000"/>
          <w:kern w:val="0"/>
        </w:rPr>
        <w:t>4.3技术支持</w:t>
      </w:r>
    </w:p>
    <w:p>
      <w:pPr>
        <w:pStyle w:val="453"/>
        <w:adjustRightInd w:val="0"/>
        <w:snapToGrid w:val="0"/>
        <w:spacing w:before="0" w:beforeAutospacing="0" w:after="0" w:afterAutospacing="0" w:line="360" w:lineRule="auto"/>
        <w:ind w:firstLine="420" w:firstLineChars="200"/>
        <w:rPr>
          <w:rFonts w:ascii="宋体" w:hAnsi="宋体" w:eastAsia="宋体" w:cs="宋体"/>
          <w:sz w:val="21"/>
          <w:szCs w:val="21"/>
        </w:rPr>
      </w:pPr>
      <w:r>
        <w:rPr>
          <w:rFonts w:hint="eastAsia" w:ascii="宋体" w:hAnsi="宋体" w:eastAsia="宋体" w:cs="宋体"/>
          <w:sz w:val="21"/>
          <w:szCs w:val="21"/>
        </w:rPr>
        <w:t>要求提供维护人员巡查服务，提供移动护理系统轮巡、系统故障处理等服务，以便出现故障时及时响应，将影响降至最低。</w:t>
      </w:r>
    </w:p>
    <w:p>
      <w:pPr>
        <w:pStyle w:val="453"/>
        <w:adjustRightInd w:val="0"/>
        <w:snapToGrid w:val="0"/>
        <w:spacing w:before="0" w:beforeAutospacing="0" w:after="0" w:afterAutospacing="0" w:line="360" w:lineRule="auto"/>
        <w:ind w:firstLine="422" w:firstLineChars="200"/>
        <w:rPr>
          <w:rFonts w:ascii="宋体" w:hAnsi="宋体" w:eastAsia="宋体" w:cs="宋体"/>
          <w:b/>
          <w:bCs/>
          <w:sz w:val="21"/>
          <w:szCs w:val="21"/>
        </w:rPr>
      </w:pPr>
    </w:p>
    <w:p>
      <w:pPr>
        <w:pStyle w:val="453"/>
        <w:adjustRightInd w:val="0"/>
        <w:snapToGrid w:val="0"/>
        <w:spacing w:before="0" w:beforeAutospacing="0" w:after="0" w:afterAutospacing="0" w:line="360" w:lineRule="auto"/>
        <w:ind w:firstLine="422" w:firstLineChars="200"/>
        <w:rPr>
          <w:rFonts w:ascii="宋体" w:hAnsi="宋体" w:eastAsia="宋体" w:cs="宋体"/>
          <w:b/>
          <w:bCs/>
          <w:sz w:val="21"/>
          <w:szCs w:val="21"/>
        </w:rPr>
      </w:pPr>
      <w:r>
        <w:rPr>
          <w:rFonts w:hint="eastAsia" w:ascii="宋体" w:hAnsi="宋体" w:eastAsia="宋体" w:cs="宋体"/>
          <w:b/>
          <w:bCs/>
          <w:sz w:val="21"/>
          <w:szCs w:val="21"/>
        </w:rPr>
        <w:t>（三）项目管理要求：</w:t>
      </w:r>
    </w:p>
    <w:p>
      <w:pPr>
        <w:pStyle w:val="453"/>
        <w:adjustRightInd w:val="0"/>
        <w:snapToGrid w:val="0"/>
        <w:spacing w:before="0" w:beforeAutospacing="0" w:after="0" w:afterAutospacing="0" w:line="360" w:lineRule="auto"/>
        <w:ind w:firstLine="422" w:firstLineChars="200"/>
        <w:rPr>
          <w:rFonts w:ascii="宋体" w:hAnsi="宋体" w:eastAsia="宋体" w:cs="宋体"/>
          <w:sz w:val="21"/>
          <w:szCs w:val="21"/>
        </w:rPr>
      </w:pPr>
      <w:r>
        <w:rPr>
          <w:rFonts w:hint="eastAsia" w:ascii="宋体" w:hAnsi="宋体" w:eastAsia="宋体" w:cs="宋体"/>
          <w:b/>
          <w:bCs/>
          <w:sz w:val="21"/>
          <w:szCs w:val="21"/>
        </w:rPr>
        <w:t>1、</w:t>
      </w:r>
      <w:r>
        <w:rPr>
          <w:rFonts w:ascii="宋体" w:hAnsi="宋体" w:eastAsia="宋体" w:cs="宋体"/>
          <w:b/>
          <w:bCs/>
          <w:sz w:val="21"/>
          <w:szCs w:val="21"/>
        </w:rPr>
        <w:t>项目维护服务团队要求</w:t>
      </w:r>
    </w:p>
    <w:p>
      <w:pPr>
        <w:pStyle w:val="453"/>
        <w:adjustRightInd w:val="0"/>
        <w:snapToGrid w:val="0"/>
        <w:spacing w:before="0" w:beforeAutospacing="0" w:after="0" w:afterAutospacing="0" w:line="360" w:lineRule="auto"/>
        <w:ind w:firstLine="420" w:firstLineChars="200"/>
        <w:rPr>
          <w:rFonts w:ascii="宋体" w:hAnsi="宋体" w:eastAsia="宋体" w:cs="宋体"/>
          <w:sz w:val="21"/>
          <w:szCs w:val="21"/>
        </w:rPr>
      </w:pPr>
      <w:r>
        <w:rPr>
          <w:rFonts w:ascii="宋体" w:hAnsi="宋体" w:eastAsia="宋体" w:cs="宋体"/>
          <w:sz w:val="21"/>
          <w:szCs w:val="21"/>
        </w:rPr>
        <w:t>投标人需根据本项目情况提供合适的、专业的项目团队进行实施，必须保证项目团队成员的稳定，团队成员需提供1人或以上常驻于龙岗区。</w:t>
      </w:r>
    </w:p>
    <w:p>
      <w:pPr>
        <w:pStyle w:val="453"/>
        <w:adjustRightInd w:val="0"/>
        <w:snapToGrid w:val="0"/>
        <w:spacing w:before="0" w:beforeAutospacing="0" w:after="0" w:afterAutospacing="0" w:line="360" w:lineRule="auto"/>
        <w:ind w:firstLine="422" w:firstLineChars="200"/>
        <w:rPr>
          <w:rFonts w:ascii="宋体" w:hAnsi="宋体" w:eastAsia="宋体" w:cs="宋体"/>
          <w:sz w:val="21"/>
          <w:szCs w:val="21"/>
        </w:rPr>
      </w:pPr>
      <w:r>
        <w:rPr>
          <w:rFonts w:hint="eastAsia" w:ascii="宋体" w:hAnsi="宋体" w:eastAsia="宋体" w:cs="宋体"/>
          <w:b/>
          <w:bCs/>
          <w:sz w:val="21"/>
          <w:szCs w:val="21"/>
        </w:rPr>
        <w:t>2、</w:t>
      </w:r>
      <w:r>
        <w:rPr>
          <w:rFonts w:ascii="宋体" w:hAnsi="宋体" w:eastAsia="宋体" w:cs="宋体"/>
          <w:b/>
          <w:bCs/>
          <w:sz w:val="21"/>
          <w:szCs w:val="21"/>
        </w:rPr>
        <w:t>项目维护服务规范要求</w:t>
      </w:r>
    </w:p>
    <w:p>
      <w:pPr>
        <w:pStyle w:val="453"/>
        <w:adjustRightInd w:val="0"/>
        <w:snapToGrid w:val="0"/>
        <w:spacing w:before="0" w:beforeAutospacing="0" w:after="0" w:afterAutospacing="0" w:line="360" w:lineRule="auto"/>
        <w:ind w:firstLine="422" w:firstLineChars="200"/>
        <w:rPr>
          <w:rFonts w:ascii="宋体" w:hAnsi="宋体" w:eastAsia="宋体" w:cs="宋体"/>
          <w:sz w:val="21"/>
          <w:szCs w:val="21"/>
        </w:rPr>
      </w:pPr>
      <w:r>
        <w:rPr>
          <w:rFonts w:hint="eastAsia" w:ascii="宋体" w:hAnsi="宋体" w:eastAsia="宋体" w:cs="宋体"/>
          <w:b/>
          <w:bCs/>
          <w:sz w:val="21"/>
          <w:szCs w:val="21"/>
        </w:rPr>
        <w:t>2.1</w:t>
      </w:r>
      <w:r>
        <w:rPr>
          <w:rFonts w:ascii="宋体" w:hAnsi="宋体" w:eastAsia="宋体" w:cs="宋体"/>
          <w:b/>
          <w:bCs/>
          <w:sz w:val="21"/>
          <w:szCs w:val="21"/>
        </w:rPr>
        <w:t>服务响应时间要求</w:t>
      </w:r>
    </w:p>
    <w:p>
      <w:pPr>
        <w:pStyle w:val="453"/>
        <w:adjustRightInd w:val="0"/>
        <w:snapToGrid w:val="0"/>
        <w:spacing w:before="0" w:beforeAutospacing="0" w:after="0" w:afterAutospacing="0" w:line="360" w:lineRule="auto"/>
        <w:ind w:firstLine="420" w:firstLineChars="200"/>
        <w:rPr>
          <w:rFonts w:ascii="宋体" w:hAnsi="宋体" w:eastAsia="宋体" w:cs="宋体"/>
          <w:sz w:val="21"/>
          <w:szCs w:val="21"/>
        </w:rPr>
      </w:pPr>
      <w:r>
        <w:rPr>
          <w:rFonts w:ascii="宋体" w:hAnsi="宋体" w:eastAsia="宋体" w:cs="宋体"/>
          <w:sz w:val="21"/>
          <w:szCs w:val="21"/>
        </w:rPr>
        <w:t>要求提供电话响应、远程技术支持、现场服务等多种故障修复服务方式，技术维护人员应保持电话畅通，以便于用户随时进行故障报修。</w:t>
      </w:r>
    </w:p>
    <w:p>
      <w:pPr>
        <w:pStyle w:val="453"/>
        <w:adjustRightInd w:val="0"/>
        <w:snapToGrid w:val="0"/>
        <w:spacing w:before="0" w:beforeAutospacing="0" w:after="0" w:afterAutospacing="0" w:line="360" w:lineRule="auto"/>
        <w:ind w:firstLine="420" w:firstLineChars="200"/>
        <w:rPr>
          <w:rFonts w:ascii="宋体" w:hAnsi="宋体" w:eastAsia="宋体" w:cs="宋体"/>
          <w:sz w:val="21"/>
          <w:szCs w:val="21"/>
        </w:rPr>
      </w:pPr>
      <w:r>
        <w:rPr>
          <w:rFonts w:ascii="宋体" w:hAnsi="宋体" w:eastAsia="宋体" w:cs="宋体"/>
          <w:sz w:val="21"/>
          <w:szCs w:val="21"/>
        </w:rPr>
        <w:t>出现一般故障（指不影响正常业务的功能性故障）时在1个工作日内响应，在3个工作日内完成修复，出现紧急故障（指影响了日常业务使用的故障）时在2小时内到达现场，在2小时内完成修复，如果2小时内问题仍然无法解决，启动应急预案并派出由资深团队到现场协作解决。</w:t>
      </w:r>
    </w:p>
    <w:p>
      <w:pPr>
        <w:pStyle w:val="453"/>
        <w:adjustRightInd w:val="0"/>
        <w:snapToGrid w:val="0"/>
        <w:spacing w:before="0" w:beforeAutospacing="0" w:after="0" w:afterAutospacing="0" w:line="360" w:lineRule="auto"/>
        <w:ind w:firstLine="422" w:firstLineChars="200"/>
        <w:rPr>
          <w:rFonts w:ascii="宋体" w:hAnsi="宋体" w:eastAsia="宋体" w:cs="宋体"/>
          <w:sz w:val="21"/>
          <w:szCs w:val="21"/>
        </w:rPr>
      </w:pPr>
      <w:r>
        <w:rPr>
          <w:rFonts w:hint="eastAsia" w:ascii="宋体" w:hAnsi="宋体" w:eastAsia="宋体" w:cs="宋体"/>
          <w:b/>
          <w:bCs/>
          <w:sz w:val="21"/>
          <w:szCs w:val="21"/>
        </w:rPr>
        <w:t>2.2</w:t>
      </w:r>
      <w:r>
        <w:rPr>
          <w:rFonts w:ascii="宋体" w:hAnsi="宋体" w:eastAsia="宋体" w:cs="宋体"/>
          <w:b/>
          <w:bCs/>
          <w:sz w:val="21"/>
          <w:szCs w:val="21"/>
        </w:rPr>
        <w:t>运维服务报告要求</w:t>
      </w:r>
    </w:p>
    <w:p>
      <w:pPr>
        <w:pStyle w:val="453"/>
        <w:adjustRightInd w:val="0"/>
        <w:snapToGrid w:val="0"/>
        <w:spacing w:before="0" w:beforeAutospacing="0" w:after="0" w:afterAutospacing="0" w:line="360" w:lineRule="auto"/>
        <w:ind w:firstLine="420" w:firstLineChars="200"/>
        <w:rPr>
          <w:rFonts w:ascii="宋体" w:hAnsi="宋体" w:eastAsia="宋体" w:cs="宋体"/>
          <w:sz w:val="21"/>
          <w:szCs w:val="21"/>
        </w:rPr>
      </w:pPr>
      <w:r>
        <w:rPr>
          <w:rFonts w:ascii="宋体" w:hAnsi="宋体" w:eastAsia="宋体" w:cs="宋体"/>
          <w:sz w:val="21"/>
          <w:szCs w:val="21"/>
        </w:rPr>
        <w:t>要求定期对各类系统进行巡检，有效掌握所有系统的当前运行状况、使用情况，汇总分析并输出运维服务报告。</w:t>
      </w:r>
    </w:p>
    <w:p>
      <w:pPr>
        <w:pStyle w:val="453"/>
        <w:adjustRightInd w:val="0"/>
        <w:snapToGrid w:val="0"/>
        <w:spacing w:before="0" w:beforeAutospacing="0" w:after="0" w:afterAutospacing="0" w:line="360" w:lineRule="auto"/>
        <w:ind w:firstLine="422" w:firstLineChars="200"/>
        <w:rPr>
          <w:rFonts w:ascii="宋体" w:hAnsi="宋体" w:eastAsia="宋体" w:cs="宋体"/>
          <w:sz w:val="21"/>
          <w:szCs w:val="21"/>
        </w:rPr>
      </w:pPr>
      <w:r>
        <w:rPr>
          <w:rFonts w:hint="eastAsia" w:ascii="宋体" w:hAnsi="宋体" w:eastAsia="宋体" w:cs="宋体"/>
          <w:b/>
          <w:bCs/>
          <w:sz w:val="21"/>
          <w:szCs w:val="21"/>
        </w:rPr>
        <w:t>2.3</w:t>
      </w:r>
      <w:r>
        <w:rPr>
          <w:rFonts w:ascii="宋体" w:hAnsi="宋体" w:eastAsia="宋体" w:cs="宋体"/>
          <w:b/>
          <w:bCs/>
          <w:sz w:val="21"/>
          <w:szCs w:val="21"/>
        </w:rPr>
        <w:t>行为规范要求</w:t>
      </w:r>
    </w:p>
    <w:p>
      <w:pPr>
        <w:pStyle w:val="453"/>
        <w:adjustRightInd w:val="0"/>
        <w:snapToGrid w:val="0"/>
        <w:spacing w:before="0" w:beforeAutospacing="0" w:after="0" w:afterAutospacing="0" w:line="360" w:lineRule="auto"/>
        <w:ind w:firstLine="420" w:firstLineChars="200"/>
        <w:rPr>
          <w:rFonts w:ascii="宋体" w:hAnsi="宋体" w:eastAsia="宋体" w:cs="宋体"/>
          <w:sz w:val="21"/>
          <w:szCs w:val="21"/>
        </w:rPr>
      </w:pPr>
      <w:r>
        <w:rPr>
          <w:rFonts w:hint="eastAsia" w:ascii="宋体" w:hAnsi="宋体" w:eastAsia="宋体" w:cs="宋体"/>
          <w:sz w:val="21"/>
          <w:szCs w:val="21"/>
        </w:rPr>
        <w:t>2.3.1</w:t>
      </w:r>
      <w:r>
        <w:rPr>
          <w:rFonts w:ascii="宋体" w:hAnsi="宋体" w:eastAsia="宋体" w:cs="宋体"/>
          <w:sz w:val="21"/>
          <w:szCs w:val="21"/>
        </w:rPr>
        <w:t>遵守用户的项目规章制度，严格按照用户相应的规章制度办事。</w:t>
      </w:r>
    </w:p>
    <w:p>
      <w:pPr>
        <w:pStyle w:val="453"/>
        <w:adjustRightInd w:val="0"/>
        <w:snapToGrid w:val="0"/>
        <w:spacing w:before="0" w:beforeAutospacing="0" w:after="0" w:afterAutospacing="0" w:line="360" w:lineRule="auto"/>
        <w:ind w:firstLine="420" w:firstLineChars="200"/>
        <w:rPr>
          <w:rFonts w:ascii="宋体" w:hAnsi="宋体" w:eastAsia="宋体" w:cs="宋体"/>
          <w:sz w:val="21"/>
          <w:szCs w:val="21"/>
        </w:rPr>
      </w:pPr>
      <w:r>
        <w:rPr>
          <w:rFonts w:ascii="宋体" w:hAnsi="宋体" w:eastAsia="宋体" w:cs="宋体"/>
          <w:sz w:val="21"/>
          <w:szCs w:val="21"/>
        </w:rPr>
        <w:t>2</w:t>
      </w:r>
      <w:r>
        <w:rPr>
          <w:rFonts w:hint="eastAsia" w:ascii="宋体" w:hAnsi="宋体" w:eastAsia="宋体" w:cs="宋体"/>
          <w:sz w:val="21"/>
          <w:szCs w:val="21"/>
        </w:rPr>
        <w:t>.3.2</w:t>
      </w:r>
      <w:r>
        <w:rPr>
          <w:rFonts w:ascii="宋体" w:hAnsi="宋体" w:eastAsia="宋体" w:cs="宋体"/>
          <w:sz w:val="21"/>
          <w:szCs w:val="21"/>
        </w:rPr>
        <w:t>与用户运行维护体系其他部门和环节协同工作，密切配合，共同开展技术支持工作。</w:t>
      </w:r>
    </w:p>
    <w:p>
      <w:pPr>
        <w:pStyle w:val="453"/>
        <w:adjustRightInd w:val="0"/>
        <w:snapToGrid w:val="0"/>
        <w:spacing w:before="0" w:beforeAutospacing="0" w:after="0" w:afterAutospacing="0" w:line="360" w:lineRule="auto"/>
        <w:ind w:firstLine="420" w:firstLineChars="200"/>
        <w:rPr>
          <w:rFonts w:ascii="宋体" w:hAnsi="宋体" w:eastAsia="宋体" w:cs="宋体"/>
          <w:sz w:val="21"/>
          <w:szCs w:val="21"/>
        </w:rPr>
      </w:pPr>
      <w:r>
        <w:rPr>
          <w:rFonts w:hint="eastAsia" w:ascii="宋体" w:hAnsi="宋体" w:eastAsia="宋体" w:cs="宋体"/>
          <w:sz w:val="21"/>
          <w:szCs w:val="21"/>
        </w:rPr>
        <w:t>2.3.3</w:t>
      </w:r>
      <w:r>
        <w:rPr>
          <w:rFonts w:ascii="宋体" w:hAnsi="宋体" w:eastAsia="宋体" w:cs="宋体"/>
          <w:sz w:val="21"/>
          <w:szCs w:val="21"/>
        </w:rPr>
        <w:t>出现疑难技术、业务问题和重大紧急情况时，及时向负责人报告。</w:t>
      </w:r>
    </w:p>
    <w:p>
      <w:pPr>
        <w:pStyle w:val="453"/>
        <w:adjustRightInd w:val="0"/>
        <w:snapToGrid w:val="0"/>
        <w:spacing w:before="0" w:beforeAutospacing="0" w:after="0" w:afterAutospacing="0" w:line="360" w:lineRule="auto"/>
        <w:ind w:firstLine="420" w:firstLineChars="200"/>
        <w:rPr>
          <w:rFonts w:ascii="宋体" w:hAnsi="宋体" w:eastAsia="宋体" w:cs="宋体"/>
          <w:sz w:val="21"/>
          <w:szCs w:val="21"/>
        </w:rPr>
      </w:pPr>
      <w:r>
        <w:rPr>
          <w:rFonts w:hint="eastAsia" w:ascii="宋体" w:hAnsi="宋体" w:eastAsia="宋体" w:cs="宋体"/>
          <w:sz w:val="21"/>
          <w:szCs w:val="21"/>
        </w:rPr>
        <w:t>2.3.4</w:t>
      </w:r>
      <w:r>
        <w:rPr>
          <w:rFonts w:ascii="宋体" w:hAnsi="宋体" w:eastAsia="宋体" w:cs="宋体"/>
          <w:sz w:val="21"/>
          <w:szCs w:val="21"/>
        </w:rPr>
        <w:t>现场技术支持时要精神饱满，穿着得体，谈吐文明，举止庄重。接听电话时要文明礼貌，语言清晰明了，语气和善。</w:t>
      </w:r>
    </w:p>
    <w:p>
      <w:pPr>
        <w:pStyle w:val="453"/>
        <w:adjustRightInd w:val="0"/>
        <w:snapToGrid w:val="0"/>
        <w:spacing w:before="0" w:beforeAutospacing="0" w:after="0" w:afterAutospacing="0" w:line="360" w:lineRule="auto"/>
        <w:ind w:firstLine="420" w:firstLineChars="200"/>
        <w:rPr>
          <w:rFonts w:ascii="宋体" w:hAnsi="宋体" w:eastAsia="宋体" w:cs="宋体"/>
          <w:b/>
          <w:bCs/>
          <w:sz w:val="21"/>
          <w:szCs w:val="21"/>
        </w:rPr>
      </w:pPr>
      <w:r>
        <w:rPr>
          <w:rFonts w:hint="eastAsia" w:ascii="宋体" w:hAnsi="宋体" w:eastAsia="宋体" w:cs="宋体"/>
          <w:sz w:val="21"/>
          <w:szCs w:val="21"/>
        </w:rPr>
        <w:t>2.3.5</w:t>
      </w:r>
      <w:r>
        <w:rPr>
          <w:rFonts w:ascii="宋体" w:hAnsi="宋体" w:eastAsia="宋体" w:cs="宋体"/>
          <w:sz w:val="21"/>
          <w:szCs w:val="21"/>
        </w:rPr>
        <w:t>遵守信息安全和保密原则。对被支持单位的网络、主机、系统软件、应用软件等的密码、核心参数、业务数据等负有保密责任，不得随意复制和传播。</w:t>
      </w:r>
    </w:p>
    <w:p>
      <w:pPr>
        <w:pStyle w:val="321"/>
        <w:ind w:firstLine="0" w:firstLineChars="0"/>
        <w:rPr>
          <w:b/>
        </w:rPr>
      </w:pPr>
    </w:p>
    <w:p>
      <w:pPr>
        <w:pStyle w:val="321"/>
        <w:ind w:firstLine="0" w:firstLineChars="0"/>
        <w:rPr>
          <w:b/>
        </w:rPr>
      </w:pPr>
      <w:r>
        <w:rPr>
          <w:rFonts w:hint="eastAsia"/>
          <w:b/>
        </w:rPr>
        <w:t>三、项目商务要求</w:t>
      </w:r>
    </w:p>
    <w:p>
      <w:pPr>
        <w:spacing w:line="360" w:lineRule="auto"/>
        <w:ind w:firstLine="422" w:firstLineChars="200"/>
        <w:rPr>
          <w:rFonts w:ascii="宋体" w:hAnsi="宋体"/>
          <w:snapToGrid w:val="0"/>
          <w:szCs w:val="21"/>
        </w:rPr>
      </w:pPr>
      <w:r>
        <w:rPr>
          <w:rFonts w:hint="eastAsia"/>
          <w:b/>
          <w:bCs/>
        </w:rPr>
        <w:t>（一）</w:t>
      </w:r>
      <w:r>
        <w:rPr>
          <w:rFonts w:hint="eastAsia"/>
          <w:b/>
          <w:lang w:val="zh-CN"/>
        </w:rPr>
        <w:t>★</w:t>
      </w:r>
      <w:r>
        <w:rPr>
          <w:rFonts w:hint="eastAsia"/>
          <w:b/>
          <w:bCs/>
        </w:rPr>
        <w:t>服务期限：</w:t>
      </w:r>
      <w:r>
        <w:rPr>
          <w:rFonts w:hint="eastAsia" w:ascii="宋体" w:hAnsi="宋体"/>
          <w:b/>
          <w:bCs/>
          <w:snapToGrid w:val="0"/>
          <w:szCs w:val="21"/>
        </w:rPr>
        <w:t>自合同签订之日起一年。</w:t>
      </w:r>
    </w:p>
    <w:p>
      <w:pPr>
        <w:spacing w:line="360" w:lineRule="auto"/>
        <w:ind w:firstLine="422" w:firstLineChars="200"/>
        <w:rPr>
          <w:rFonts w:hint="eastAsia" w:eastAsia="宋体"/>
          <w:b/>
          <w:bCs/>
          <w:lang w:eastAsia="zh-CN"/>
        </w:rPr>
      </w:pPr>
      <w:r>
        <w:rPr>
          <w:rFonts w:hint="eastAsia"/>
          <w:b/>
          <w:bCs/>
        </w:rPr>
        <w:t>（二）付款方式：</w:t>
      </w:r>
      <w:r>
        <w:rPr>
          <w:rFonts w:hint="eastAsia" w:ascii="宋体" w:hAnsi="宋体"/>
          <w:szCs w:val="21"/>
        </w:rPr>
        <w:t>按合同约定执行</w:t>
      </w:r>
      <w:r>
        <w:rPr>
          <w:rFonts w:hint="eastAsia" w:ascii="宋体" w:hAnsi="宋体"/>
          <w:szCs w:val="21"/>
          <w:lang w:eastAsia="zh-CN"/>
        </w:rPr>
        <w:t>。</w:t>
      </w:r>
    </w:p>
    <w:p>
      <w:pPr>
        <w:spacing w:line="360" w:lineRule="auto"/>
        <w:ind w:firstLine="422" w:firstLineChars="200"/>
        <w:rPr>
          <w:b/>
          <w:bCs/>
        </w:rPr>
      </w:pPr>
      <w:r>
        <w:rPr>
          <w:rFonts w:hint="eastAsia"/>
          <w:b/>
          <w:bCs/>
        </w:rPr>
        <w:t xml:space="preserve">（三）报价要求： </w:t>
      </w:r>
    </w:p>
    <w:p>
      <w:pP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1、本项目服务费采用包干制，应包括服务成本、法定税费和利润。由投标人根据采购文件所提供的资料自行测算投标报价；一经中标，投标报价总价作为中标人与采购人签定的合同金额，合同期限内不做调整；</w:t>
      </w:r>
    </w:p>
    <w:p>
      <w:pP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2、投标人应根据其成本自行决定报价。评标委员会认为投标人的报价明显低于其他通过符合性审查投标人的报价，有可能影响服务质量或不能诚信履约的，将会要求该投标人在评标现场合理的时间内提供书面说明，必要时提交相关证明材料。投标人不能证明其报价合理性的，评标委员会应将其作为无效投标处理。若评标委员会对是否须由投标人作出报价合理性说明，以及书面说明是否采纳等判断不一致的，按照“少数服从多数”的原则确定评标委员会的意见。</w:t>
      </w:r>
    </w:p>
    <w:p>
      <w:pPr>
        <w:spacing w:line="360" w:lineRule="auto"/>
        <w:ind w:firstLine="422" w:firstLineChars="200"/>
        <w:rPr>
          <w:rFonts w:ascii="宋体" w:hAnsi="宋体" w:cs="Arial Unicode MS"/>
          <w:snapToGrid w:val="0"/>
          <w:kern w:val="0"/>
          <w:szCs w:val="21"/>
        </w:rPr>
      </w:pPr>
      <w:r>
        <w:rPr>
          <w:rFonts w:hint="eastAsia" w:ascii="宋体" w:hAnsi="宋体" w:cs="Arial Unicode MS"/>
          <w:b/>
          <w:bCs/>
          <w:snapToGrid w:val="0"/>
          <w:kern w:val="0"/>
          <w:szCs w:val="21"/>
        </w:rPr>
        <w:t xml:space="preserve">（四）驻点地点: </w:t>
      </w:r>
      <w:r>
        <w:rPr>
          <w:rFonts w:hint="eastAsia" w:ascii="宋体" w:hAnsi="宋体" w:cs="Arial Unicode MS"/>
          <w:snapToGrid w:val="0"/>
          <w:kern w:val="0"/>
          <w:szCs w:val="21"/>
        </w:rPr>
        <w:t>深圳市龙岗区。</w:t>
      </w:r>
    </w:p>
    <w:p>
      <w:pPr>
        <w:rPr>
          <w:rFonts w:ascii="宋体" w:hAnsi="宋体" w:cs="Arial Unicode MS"/>
          <w:snapToGrid w:val="0"/>
          <w:kern w:val="0"/>
          <w:szCs w:val="21"/>
        </w:rPr>
      </w:pPr>
    </w:p>
    <w:p>
      <w:pPr>
        <w:pStyle w:val="453"/>
        <w:adjustRightInd w:val="0"/>
        <w:snapToGrid w:val="0"/>
        <w:spacing w:before="0" w:beforeAutospacing="0" w:after="0" w:afterAutospacing="0" w:line="360" w:lineRule="auto"/>
        <w:ind w:left="359" w:leftChars="171" w:firstLine="55" w:firstLineChars="31"/>
        <w:rPr>
          <w:rFonts w:ascii="宋体" w:hAnsi="宋体" w:cs="宋体"/>
          <w:szCs w:val="21"/>
        </w:rPr>
      </w:pPr>
    </w:p>
    <w:p>
      <w:pPr>
        <w:rPr>
          <w:szCs w:val="21"/>
        </w:rPr>
      </w:pPr>
      <w:r>
        <w:rPr>
          <w:szCs w:val="21"/>
        </w:rPr>
        <w:br w:type="page"/>
      </w:r>
    </w:p>
    <w:p>
      <w:pPr>
        <w:pStyle w:val="456"/>
        <w:spacing w:before="0" w:beforeAutospacing="0" w:after="0" w:afterAutospacing="0" w:line="360" w:lineRule="auto"/>
        <w:rPr>
          <w:sz w:val="21"/>
          <w:szCs w:val="21"/>
        </w:rPr>
      </w:pPr>
    </w:p>
    <w:p>
      <w:pPr>
        <w:pStyle w:val="3"/>
      </w:pPr>
      <w:bookmarkStart w:id="11" w:name="_Toc26248"/>
      <w:r>
        <w:rPr>
          <w:rFonts w:hint="eastAsia"/>
        </w:rPr>
        <w:t>第三章  投标文件初审</w:t>
      </w:r>
      <w:bookmarkEnd w:id="11"/>
    </w:p>
    <w:p>
      <w:pPr>
        <w:autoSpaceDE w:val="0"/>
        <w:autoSpaceDN w:val="0"/>
        <w:adjustRightInd w:val="0"/>
        <w:spacing w:line="360" w:lineRule="auto"/>
        <w:ind w:firstLine="480" w:firstLineChars="200"/>
        <w:jc w:val="left"/>
        <w:rPr>
          <w:rFonts w:ascii="仿宋_GB2312" w:eastAsia="仿宋_GB2312"/>
          <w:sz w:val="24"/>
        </w:rPr>
      </w:pP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rPr>
          <w:snapToGrid w:val="0"/>
          <w:kern w:val="0"/>
        </w:rPr>
      </w:pPr>
    </w:p>
    <w:p>
      <w:pPr>
        <w:adjustRightInd w:val="0"/>
        <w:spacing w:line="360" w:lineRule="auto"/>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rPr>
          <w:rFonts w:ascii="宋体" w:hAnsi="宋体"/>
          <w:snapToGrid w:val="0"/>
          <w:kern w:val="0"/>
        </w:rPr>
      </w:pPr>
    </w:p>
    <w:p>
      <w:pPr>
        <w:adjustRightInd w:val="0"/>
        <w:spacing w:line="360" w:lineRule="auto"/>
        <w:rPr>
          <w:rFonts w:ascii="宋体" w:hAnsi="宋体"/>
          <w:snapToGrid w:val="0"/>
          <w:kern w:val="0"/>
        </w:rPr>
      </w:pPr>
      <w:r>
        <w:rPr>
          <w:rFonts w:hint="eastAsia" w:ascii="宋体" w:hAnsi="宋体"/>
          <w:snapToGrid w:val="0"/>
          <w:kern w:val="0"/>
        </w:rPr>
        <w:t>二、符合性审查</w:t>
      </w:r>
    </w:p>
    <w:p>
      <w:pPr>
        <w:adjustRightInd w:val="0"/>
        <w:spacing w:line="360" w:lineRule="auto"/>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rPr>
          <w:rFonts w:ascii="宋体" w:hAnsi="宋体"/>
          <w:snapToGrid w:val="0"/>
          <w:kern w:val="0"/>
        </w:rPr>
      </w:pPr>
      <w:r>
        <w:rPr>
          <w:rFonts w:hint="eastAsia" w:ascii="宋体" w:hAnsi="宋体"/>
          <w:snapToGrid w:val="0"/>
          <w:kern w:val="0"/>
        </w:rPr>
        <w:t>3、未按招标文件要求提供法定代表人证明书和法定代表人授权委托证明书。</w:t>
      </w:r>
    </w:p>
    <w:p>
      <w:pPr>
        <w:adjustRightInd w:val="0"/>
        <w:spacing w:line="360" w:lineRule="auto"/>
        <w:ind w:left="283" w:hanging="283" w:hangingChars="135"/>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rPr>
          <w:rFonts w:ascii="宋体" w:hAnsi="宋体"/>
          <w:snapToGrid w:val="0"/>
          <w:kern w:val="0"/>
        </w:rPr>
      </w:pPr>
      <w:r>
        <w:rPr>
          <w:rFonts w:hint="eastAsia" w:ascii="宋体" w:hAnsi="宋体"/>
          <w:snapToGrid w:val="0"/>
          <w:kern w:val="0"/>
        </w:rPr>
        <w:t>6、投标报价有严重缺漏项的。</w:t>
      </w:r>
    </w:p>
    <w:p>
      <w:pPr>
        <w:adjustRightInd w:val="0"/>
        <w:spacing w:line="360" w:lineRule="auto"/>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rPr>
          <w:rFonts w:ascii="宋体" w:hAnsi="宋体"/>
          <w:snapToGrid w:val="0"/>
          <w:kern w:val="0"/>
        </w:rPr>
      </w:pPr>
      <w:r>
        <w:rPr>
          <w:rFonts w:hint="eastAsia" w:ascii="宋体" w:hAnsi="宋体"/>
          <w:snapToGrid w:val="0"/>
          <w:kern w:val="0"/>
        </w:rPr>
        <w:t>9、将一个项目包拆分投标，对同一货物及服务投标时，同时提供两套或以上的投标方案。</w:t>
      </w:r>
    </w:p>
    <w:p>
      <w:pPr>
        <w:adjustRightInd w:val="0"/>
        <w:spacing w:line="360" w:lineRule="auto"/>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投标人的投标总价超过采购预算金额（最高投标限价）的</w:t>
      </w:r>
      <w:r>
        <w:rPr>
          <w:rFonts w:hint="eastAsia" w:ascii="宋体" w:hAnsi="宋体"/>
          <w:snapToGrid w:val="0"/>
          <w:kern w:val="0"/>
        </w:rPr>
        <w:t>。</w:t>
      </w:r>
    </w:p>
    <w:p>
      <w:pPr>
        <w:adjustRightInd w:val="0"/>
        <w:spacing w:line="360" w:lineRule="auto"/>
        <w:rPr>
          <w:rFonts w:ascii="宋体" w:hAnsi="宋体"/>
          <w:snapToGrid w:val="0"/>
          <w:kern w:val="0"/>
        </w:rPr>
      </w:pPr>
      <w:r>
        <w:rPr>
          <w:rFonts w:hint="eastAsia" w:ascii="宋体" w:hAnsi="宋体"/>
          <w:snapToGrid w:val="0"/>
          <w:kern w:val="0"/>
        </w:rPr>
        <w:t>13、法律法规规定的其它情形。</w:t>
      </w:r>
    </w:p>
    <w:p/>
    <w:p/>
    <w:p/>
    <w:p>
      <w:pPr>
        <w:widowControl/>
        <w:jc w:val="left"/>
      </w:pPr>
      <w:r>
        <w:br w:type="page"/>
      </w:r>
    </w:p>
    <w:p/>
    <w:p>
      <w:pPr>
        <w:pStyle w:val="3"/>
        <w:spacing w:after="0"/>
      </w:pPr>
      <w:bookmarkStart w:id="12" w:name="_Toc18876"/>
      <w:r>
        <w:rPr>
          <w:rFonts w:hint="eastAsia"/>
        </w:rPr>
        <w:t>第四章  评标方法和标准</w:t>
      </w:r>
      <w:bookmarkEnd w:id="12"/>
    </w:p>
    <w:p/>
    <w:p>
      <w:pPr>
        <w:pStyle w:val="4"/>
        <w:spacing w:before="0" w:after="0"/>
      </w:pPr>
      <w:bookmarkStart w:id="13" w:name="_Toc21239"/>
      <w:bookmarkStart w:id="14" w:name="_Toc44690429"/>
      <w:bookmarkStart w:id="15" w:name="_Toc44690702"/>
      <w:bookmarkStart w:id="16" w:name="_Toc44691161"/>
      <w:bookmarkStart w:id="17" w:name="_Toc44691393"/>
      <w:r>
        <w:rPr>
          <w:rFonts w:hint="eastAsia"/>
        </w:rPr>
        <w:t>一、</w:t>
      </w:r>
      <w:r>
        <w:t>评标方法</w:t>
      </w:r>
      <w:bookmarkEnd w:id="13"/>
      <w:bookmarkEnd w:id="14"/>
      <w:bookmarkEnd w:id="15"/>
      <w:bookmarkEnd w:id="16"/>
      <w:bookmarkEnd w:id="17"/>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综合评分法，是指投标文件满足招标文件全部实质性要求，且按照评审因素的量化指标评审得分最高的投标人为中标候选人的评标方法。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3、中标人及中标候选人数量：</w:t>
      </w:r>
      <w:r>
        <w:rPr>
          <w:rFonts w:hint="eastAsia" w:cs="仿宋" w:asciiTheme="minorEastAsia" w:hAnsiTheme="minorEastAsia" w:eastAsiaTheme="minorEastAsia"/>
          <w:kern w:val="2"/>
          <w:sz w:val="21"/>
          <w:szCs w:val="21"/>
        </w:rPr>
        <w:t>中标人数量：1名，中标候选人数量：1名。</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”中的各项评审因素，对通过资格性审查和符合性审查的所有投标人的投标文件进行独立评审，并汇总每个投标人的得分，取算术平均值后确定其评审得分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若评审得分相同，则按投标报价由低到高顺序排列；若评审得分及投标报价均相同，则按技术服务优劣顺序排列（即按技术标得分由高到低顺序排列）；以上均相同的由评标委员会抽签决定排序。</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5、推荐中标候选人：</w:t>
      </w:r>
    </w:p>
    <w:p>
      <w:pPr>
        <w:pStyle w:val="45"/>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作为中标候选人。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6、确定中标人：</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szCs w:val="21"/>
        </w:rPr>
        <w:t>非评定分离项目：采购人在评标报告确定的中标候选人名单中按顺序确定1名中标人。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4"/>
        <w:spacing w:before="0" w:after="0"/>
      </w:pPr>
      <w:bookmarkStart w:id="18" w:name="_Toc25716"/>
      <w:r>
        <w:rPr>
          <w:rFonts w:hint="eastAsia"/>
        </w:rPr>
        <w:t>二、评标标准</w:t>
      </w:r>
      <w:bookmarkEnd w:id="18"/>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评标委员会按照以下量化的评审因素，对各投标文件进行分析和比较：</w:t>
      </w:r>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评分项及评分规则</w:t>
            </w:r>
          </w:p>
        </w:tc>
        <w:tc>
          <w:tcPr>
            <w:tcW w:w="1187" w:type="dxa"/>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一、价格部分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pStyle w:val="45"/>
              <w:spacing w:before="0" w:beforeAutospacing="0" w:after="0" w:afterAutospacing="0" w:line="360" w:lineRule="exact"/>
              <w:ind w:left="420" w:hanging="420"/>
              <w:rPr>
                <w:rFonts w:cs="仿宋"/>
                <w:b/>
                <w:bCs/>
                <w:sz w:val="21"/>
                <w:szCs w:val="21"/>
              </w:rPr>
            </w:pPr>
            <w:r>
              <w:rPr>
                <w:rFonts w:hint="eastAsia" w:cs="仿宋" w:asciiTheme="minorEastAsia" w:hAnsiTheme="minorEastAsia" w:eastAsiaTheme="minorEastAsia"/>
                <w:kern w:val="2"/>
                <w:sz w:val="21"/>
                <w:szCs w:val="21"/>
              </w:rPr>
              <w:t>价格分采用低价优先法计算，计算公式如下：</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投标报价得分 = Z/Sn ×20</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当价格分＜0时，取0。 </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其中：</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Z </w:t>
            </w:r>
            <w:r>
              <w:rPr>
                <w:rFonts w:hint="eastAsia" w:cs="仿宋" w:asciiTheme="minorEastAsia" w:hAnsiTheme="minorEastAsia" w:eastAsiaTheme="minorEastAsia"/>
                <w:sz w:val="21"/>
                <w:szCs w:val="21"/>
              </w:rPr>
              <w:t>----</w:t>
            </w:r>
            <w:r>
              <w:rPr>
                <w:rFonts w:hint="eastAsia" w:cs="仿宋" w:asciiTheme="minorEastAsia" w:hAnsiTheme="minorEastAsia" w:eastAsiaTheme="minorEastAsia"/>
                <w:kern w:val="2"/>
                <w:sz w:val="21"/>
                <w:szCs w:val="21"/>
              </w:rPr>
              <w:t>评标基准价，即通过资格性审查和符合性审查且投标价格最低的投标报价。</w:t>
            </w:r>
          </w:p>
          <w:p>
            <w:pPr>
              <w:autoSpaceDE w:val="0"/>
              <w:autoSpaceDN w:val="0"/>
              <w:adjustRightInd w:val="0"/>
              <w:spacing w:line="3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Sn ---投标报价，即通过资格性审查和符合性审查的投标报价。</w:t>
            </w:r>
          </w:p>
          <w:p>
            <w:pPr>
              <w:autoSpaceDE w:val="0"/>
              <w:autoSpaceDN w:val="0"/>
              <w:adjustRightInd w:val="0"/>
              <w:spacing w:line="360" w:lineRule="exact"/>
              <w:jc w:val="left"/>
              <w:rPr>
                <w:rFonts w:ascii="宋体" w:hAnsi="宋体"/>
                <w:b/>
                <w:bCs/>
                <w:snapToGrid w:val="0"/>
                <w:kern w:val="0"/>
              </w:rPr>
            </w:pPr>
            <w:r>
              <w:rPr>
                <w:rFonts w:hint="eastAsia" w:ascii="宋体" w:hAnsi="宋体"/>
                <w:b/>
                <w:snapToGrid w:val="0"/>
                <w:kern w:val="0"/>
                <w:szCs w:val="21"/>
              </w:rPr>
              <w:t>注：对于符合 “</w:t>
            </w:r>
            <w:r>
              <w:rPr>
                <w:rFonts w:hint="eastAsia" w:ascii="宋体" w:hAnsi="宋体"/>
                <w:b/>
                <w:snapToGrid w:val="0"/>
                <w:kern w:val="0"/>
              </w:rPr>
              <w:t>政府采购优惠政策</w:t>
            </w:r>
            <w:r>
              <w:rPr>
                <w:rFonts w:hint="eastAsia" w:ascii="宋体" w:hAnsi="宋体"/>
                <w:b/>
                <w:bCs/>
                <w:snapToGrid w:val="0"/>
                <w:kern w:val="0"/>
              </w:rPr>
              <w:t>”的小微企业、监狱企业和残疾人福利性单位，以调整后的价格计算评标基准价和投标报价。</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二、技术部分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45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56"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143" w:type="dxa"/>
            <w:vAlign w:val="center"/>
          </w:tcPr>
          <w:p>
            <w:pPr>
              <w:widowControl/>
              <w:spacing w:line="360" w:lineRule="exact"/>
              <w:jc w:val="center"/>
              <w:rPr>
                <w:rFonts w:ascii="宋体" w:hAnsi="宋体"/>
                <w:kern w:val="0"/>
                <w:szCs w:val="21"/>
              </w:rPr>
            </w:pPr>
            <w:r>
              <w:rPr>
                <w:rFonts w:hint="eastAsia" w:ascii="宋体" w:hAnsi="宋体" w:cs="宋体"/>
                <w:color w:val="000000"/>
                <w:kern w:val="0"/>
                <w:szCs w:val="21"/>
                <w:lang w:bidi="ar"/>
              </w:rPr>
              <w:t>项目维护方案</w:t>
            </w:r>
          </w:p>
        </w:tc>
        <w:tc>
          <w:tcPr>
            <w:tcW w:w="709" w:type="dxa"/>
            <w:vAlign w:val="center"/>
          </w:tcPr>
          <w:p>
            <w:pPr>
              <w:widowControl/>
              <w:spacing w:line="360" w:lineRule="exact"/>
              <w:jc w:val="center"/>
              <w:rPr>
                <w:rFonts w:ascii="宋体" w:hAnsi="宋体"/>
                <w:kern w:val="0"/>
                <w:szCs w:val="21"/>
              </w:rPr>
            </w:pPr>
            <w:r>
              <w:rPr>
                <w:rFonts w:hint="eastAsia" w:ascii="宋体" w:hAnsi="宋体" w:cs="宋体"/>
                <w:kern w:val="0"/>
                <w:szCs w:val="21"/>
              </w:rPr>
              <w:t>15</w:t>
            </w:r>
          </w:p>
        </w:tc>
        <w:tc>
          <w:tcPr>
            <w:tcW w:w="5953" w:type="dxa"/>
            <w:vAlign w:val="center"/>
          </w:tcPr>
          <w:p>
            <w:pPr>
              <w:autoSpaceDE w:val="0"/>
              <w:autoSpaceDN w:val="0"/>
              <w:adjustRightInd w:val="0"/>
              <w:spacing w:line="360" w:lineRule="exact"/>
              <w:rPr>
                <w:rFonts w:ascii="宋体" w:hAnsi="宋体" w:cs="宋体"/>
                <w:szCs w:val="21"/>
              </w:rPr>
            </w:pPr>
            <w:r>
              <w:rPr>
                <w:rFonts w:hint="eastAsia" w:ascii="宋体" w:hAnsi="宋体" w:cs="宋体" w:eastAsiaTheme="minorEastAsia"/>
                <w:szCs w:val="21"/>
              </w:rPr>
              <w:t>根据投标人</w:t>
            </w:r>
            <w:r>
              <w:rPr>
                <w:rFonts w:hint="eastAsia" w:ascii="宋体" w:hAnsi="宋体" w:cs="宋体"/>
                <w:szCs w:val="21"/>
              </w:rPr>
              <w:t>对</w:t>
            </w:r>
            <w:r>
              <w:rPr>
                <w:rFonts w:hint="eastAsia" w:ascii="宋体" w:hAnsi="宋体" w:cs="宋体"/>
                <w:color w:val="000000"/>
                <w:kern w:val="0"/>
                <w:szCs w:val="21"/>
                <w:lang w:bidi="ar"/>
              </w:rPr>
              <w:t>本项目服务原则、项目背景和维护目标及任务的理解程度</w:t>
            </w:r>
            <w:r>
              <w:rPr>
                <w:rFonts w:hint="eastAsia" w:ascii="宋体" w:hAnsi="宋体" w:cs="宋体"/>
                <w:szCs w:val="21"/>
              </w:rPr>
              <w:t>等方面进行评审：</w:t>
            </w:r>
          </w:p>
          <w:p>
            <w:pPr>
              <w:autoSpaceDE w:val="0"/>
              <w:autoSpaceDN w:val="0"/>
              <w:adjustRightInd w:val="0"/>
              <w:spacing w:line="360" w:lineRule="exact"/>
              <w:rPr>
                <w:rFonts w:ascii="宋体" w:hAnsi="宋体" w:cs="宋体"/>
                <w:szCs w:val="21"/>
              </w:rPr>
            </w:pPr>
            <w:r>
              <w:rPr>
                <w:rFonts w:hint="eastAsia" w:ascii="宋体" w:hAnsi="宋体" w:cs="宋体"/>
                <w:szCs w:val="21"/>
              </w:rPr>
              <w:t>（1）项目维护方案内容具体，表述清晰、完整；</w:t>
            </w:r>
          </w:p>
          <w:p>
            <w:pPr>
              <w:autoSpaceDE w:val="0"/>
              <w:autoSpaceDN w:val="0"/>
              <w:adjustRightInd w:val="0"/>
              <w:spacing w:line="360" w:lineRule="exact"/>
              <w:rPr>
                <w:rFonts w:ascii="宋体" w:hAnsi="宋体" w:cs="宋体"/>
                <w:szCs w:val="21"/>
              </w:rPr>
            </w:pPr>
            <w:r>
              <w:rPr>
                <w:rFonts w:hint="eastAsia" w:ascii="宋体" w:hAnsi="宋体" w:cs="宋体"/>
                <w:szCs w:val="21"/>
              </w:rPr>
              <w:t>（2）项目维护方案内容针对性强；</w:t>
            </w:r>
          </w:p>
          <w:p>
            <w:pPr>
              <w:pStyle w:val="19"/>
              <w:spacing w:line="360" w:lineRule="exact"/>
              <w:rPr>
                <w:rFonts w:ascii="宋体" w:hAnsi="宋体" w:cs="宋体"/>
                <w:szCs w:val="21"/>
              </w:rPr>
            </w:pPr>
            <w:r>
              <w:rPr>
                <w:rFonts w:hint="eastAsia" w:ascii="宋体" w:hAnsi="宋体" w:cs="宋体"/>
                <w:szCs w:val="21"/>
              </w:rPr>
              <w:t>（3）</w:t>
            </w:r>
            <w:r>
              <w:rPr>
                <w:rFonts w:hint="eastAsia" w:ascii="宋体" w:hAnsi="宋体" w:cs="宋体"/>
                <w:color w:val="000000"/>
                <w:kern w:val="0"/>
                <w:szCs w:val="21"/>
                <w:lang w:bidi="ar"/>
              </w:rPr>
              <w:t>制定详尽的应急处理预案，流程严谨而有序；</w:t>
            </w:r>
          </w:p>
          <w:p>
            <w:pPr>
              <w:autoSpaceDE w:val="0"/>
              <w:autoSpaceDN w:val="0"/>
              <w:adjustRightInd w:val="0"/>
              <w:spacing w:line="360" w:lineRule="exact"/>
              <w:rPr>
                <w:rFonts w:ascii="宋体" w:hAnsi="宋体" w:cs="宋体"/>
                <w:szCs w:val="21"/>
              </w:rPr>
            </w:pPr>
            <w:r>
              <w:rPr>
                <w:rFonts w:hint="eastAsia" w:ascii="宋体" w:hAnsi="宋体" w:cs="宋体"/>
                <w:szCs w:val="21"/>
              </w:rPr>
              <w:t>（4）</w:t>
            </w:r>
            <w:r>
              <w:rPr>
                <w:rFonts w:hint="eastAsia" w:ascii="宋体" w:hAnsi="宋体" w:cs="宋体"/>
                <w:color w:val="000000"/>
                <w:kern w:val="0"/>
                <w:szCs w:val="21"/>
                <w:lang w:bidi="ar"/>
              </w:rPr>
              <w:t>组建运维服务团队，明确管理架构及分工。</w:t>
            </w:r>
          </w:p>
          <w:p>
            <w:pPr>
              <w:autoSpaceDE w:val="0"/>
              <w:autoSpaceDN w:val="0"/>
              <w:adjustRightInd w:val="0"/>
              <w:spacing w:line="360" w:lineRule="exact"/>
              <w:rPr>
                <w:rFonts w:ascii="宋体" w:hAnsi="宋体" w:cs="宋体"/>
                <w:szCs w:val="21"/>
              </w:rPr>
            </w:pPr>
            <w:r>
              <w:rPr>
                <w:rFonts w:hint="eastAsia" w:ascii="宋体" w:hAnsi="宋体" w:cs="宋体"/>
                <w:szCs w:val="21"/>
              </w:rPr>
              <w:t>满足以上四项要求得15分，满足以上三项要求得10分，满足以上两项要求得5分，其它情况不得分。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0"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widowControl/>
              <w:spacing w:line="360" w:lineRule="exact"/>
              <w:jc w:val="center"/>
              <w:rPr>
                <w:rFonts w:ascii="宋体" w:hAnsi="宋体"/>
                <w:kern w:val="0"/>
                <w:szCs w:val="21"/>
              </w:rPr>
            </w:pPr>
            <w:r>
              <w:rPr>
                <w:rFonts w:hint="eastAsia" w:ascii="宋体" w:hAnsi="宋体" w:cs="宋体"/>
                <w:color w:val="000000"/>
                <w:kern w:val="0"/>
                <w:szCs w:val="21"/>
              </w:rPr>
              <w:t>同类项目业绩情况</w:t>
            </w:r>
          </w:p>
        </w:tc>
        <w:tc>
          <w:tcPr>
            <w:tcW w:w="709" w:type="dxa"/>
            <w:vAlign w:val="center"/>
          </w:tcPr>
          <w:p>
            <w:pPr>
              <w:widowControl/>
              <w:spacing w:line="360" w:lineRule="exact"/>
              <w:jc w:val="center"/>
              <w:rPr>
                <w:rFonts w:ascii="宋体" w:hAnsi="宋体"/>
                <w:kern w:val="0"/>
                <w:szCs w:val="21"/>
              </w:rPr>
            </w:pPr>
            <w:r>
              <w:rPr>
                <w:rFonts w:hint="eastAsia" w:ascii="宋体" w:hAnsi="宋体"/>
                <w:szCs w:val="21"/>
              </w:rPr>
              <w:t>20</w:t>
            </w:r>
          </w:p>
        </w:tc>
        <w:tc>
          <w:tcPr>
            <w:tcW w:w="5953" w:type="dxa"/>
            <w:vAlign w:val="center"/>
          </w:tcPr>
          <w:p>
            <w:pPr>
              <w:pStyle w:val="94"/>
              <w:spacing w:line="360" w:lineRule="exact"/>
              <w:ind w:firstLine="0" w:firstLineChars="0"/>
              <w:rPr>
                <w:rFonts w:ascii="宋体" w:hAnsi="宋体" w:cs="宋体" w:eastAsiaTheme="minorEastAsia"/>
                <w:szCs w:val="21"/>
              </w:rPr>
            </w:pPr>
            <w:r>
              <w:rPr>
                <w:rFonts w:hint="eastAsia" w:ascii="宋体" w:hAnsi="宋体" w:cs="宋体" w:eastAsiaTheme="minorEastAsia"/>
                <w:szCs w:val="21"/>
              </w:rPr>
              <w:t>（一）评分内容：</w:t>
            </w:r>
          </w:p>
          <w:p>
            <w:pPr>
              <w:pStyle w:val="94"/>
              <w:spacing w:line="360" w:lineRule="exact"/>
              <w:ind w:firstLine="0" w:firstLineChars="0"/>
              <w:rPr>
                <w:rFonts w:ascii="宋体" w:hAnsi="宋体" w:cs="宋体" w:eastAsiaTheme="minorEastAsia"/>
                <w:szCs w:val="21"/>
              </w:rPr>
            </w:pPr>
            <w:r>
              <w:rPr>
                <w:rFonts w:hint="eastAsia" w:ascii="宋体" w:hAnsi="宋体" w:cs="宋体" w:eastAsiaTheme="minorEastAsia"/>
                <w:szCs w:val="21"/>
              </w:rPr>
              <w:t>1.</w:t>
            </w:r>
            <w:r>
              <w:rPr>
                <w:rFonts w:hint="eastAsia" w:ascii="宋体" w:hAnsi="宋体" w:cs="宋体"/>
                <w:bCs/>
                <w:color w:val="000000" w:themeColor="text1"/>
                <w:szCs w:val="21"/>
                <w14:textFill>
                  <w14:solidFill>
                    <w14:schemeClr w14:val="tx1"/>
                  </w14:solidFill>
                </w14:textFill>
              </w:rPr>
              <w:t>投标人近三年（2019年1月1日至本项目招标公告发布之日，以合同签订日期为准）</w:t>
            </w:r>
            <w:r>
              <w:rPr>
                <w:rFonts w:hint="eastAsia" w:ascii="宋体" w:hAnsi="宋体" w:cs="宋体" w:eastAsiaTheme="minorEastAsia"/>
                <w:szCs w:val="21"/>
              </w:rPr>
              <w:t>具有信息系统维护项目相关案例，每提供一个得10分。</w:t>
            </w:r>
          </w:p>
          <w:p>
            <w:pPr>
              <w:pStyle w:val="94"/>
              <w:spacing w:line="360" w:lineRule="exact"/>
              <w:ind w:firstLine="0" w:firstLineChars="0"/>
              <w:rPr>
                <w:rFonts w:ascii="宋体" w:hAnsi="宋体" w:cs="宋体" w:eastAsiaTheme="minorEastAsia"/>
                <w:szCs w:val="21"/>
              </w:rPr>
            </w:pPr>
            <w:r>
              <w:rPr>
                <w:rFonts w:hint="eastAsia" w:ascii="宋体" w:hAnsi="宋体" w:cs="宋体" w:eastAsiaTheme="minorEastAsia"/>
                <w:szCs w:val="21"/>
              </w:rPr>
              <w:t>2.</w:t>
            </w:r>
            <w:r>
              <w:rPr>
                <w:rFonts w:hint="eastAsia" w:ascii="宋体" w:hAnsi="宋体" w:cs="宋体"/>
                <w:bCs/>
                <w:color w:val="000000" w:themeColor="text1"/>
                <w:szCs w:val="21"/>
                <w14:textFill>
                  <w14:solidFill>
                    <w14:schemeClr w14:val="tx1"/>
                  </w14:solidFill>
                </w14:textFill>
              </w:rPr>
              <w:t>投标人近三年（2019年1月1日至本项目招标公告发布之日，以合同签订日期为准）</w:t>
            </w:r>
            <w:r>
              <w:rPr>
                <w:rFonts w:hint="eastAsia" w:ascii="宋体" w:hAnsi="宋体" w:cs="宋体" w:eastAsiaTheme="minorEastAsia"/>
                <w:szCs w:val="21"/>
              </w:rPr>
              <w:t>具有信息化建设项目相关案例，每提供一个得10分。</w:t>
            </w:r>
          </w:p>
          <w:p>
            <w:pPr>
              <w:pStyle w:val="94"/>
              <w:spacing w:line="360" w:lineRule="exact"/>
              <w:ind w:firstLine="0" w:firstLineChars="0"/>
              <w:rPr>
                <w:rFonts w:ascii="宋体" w:hAnsi="宋体" w:cs="宋体" w:eastAsiaTheme="minorEastAsia"/>
                <w:szCs w:val="21"/>
              </w:rPr>
            </w:pPr>
            <w:r>
              <w:rPr>
                <w:rFonts w:hint="eastAsia" w:ascii="宋体" w:hAnsi="宋体" w:cs="宋体" w:eastAsiaTheme="minorEastAsia"/>
                <w:szCs w:val="21"/>
              </w:rPr>
              <w:t>（二）评分依据：</w:t>
            </w:r>
          </w:p>
          <w:p>
            <w:pPr>
              <w:pStyle w:val="94"/>
              <w:spacing w:line="360" w:lineRule="exact"/>
              <w:ind w:firstLine="0" w:firstLineChars="0"/>
              <w:rPr>
                <w:rFonts w:ascii="宋体" w:hAnsi="宋体" w:cs="宋体" w:eastAsiaTheme="minorEastAsia"/>
                <w:szCs w:val="21"/>
              </w:rPr>
            </w:pPr>
            <w:r>
              <w:rPr>
                <w:rFonts w:hint="eastAsia" w:ascii="宋体" w:hAnsi="宋体" w:cs="宋体" w:eastAsiaTheme="minorEastAsia"/>
                <w:szCs w:val="21"/>
              </w:rPr>
              <w:t>1.提供合同关键页且提供的材料各项信息不得有任何遮挡，合同需体现签订日期；</w:t>
            </w:r>
          </w:p>
          <w:p>
            <w:pPr>
              <w:pStyle w:val="94"/>
              <w:spacing w:line="360" w:lineRule="exact"/>
              <w:ind w:firstLine="0" w:firstLineChars="0"/>
              <w:rPr>
                <w:rFonts w:ascii="宋体" w:hAnsi="宋体" w:cs="宋体" w:eastAsiaTheme="minorEastAsia"/>
                <w:szCs w:val="21"/>
              </w:rPr>
            </w:pPr>
            <w:r>
              <w:rPr>
                <w:rFonts w:hint="eastAsia" w:ascii="宋体" w:hAnsi="宋体" w:cs="宋体" w:eastAsiaTheme="minorEastAsia"/>
                <w:szCs w:val="21"/>
              </w:rPr>
              <w:t>2.通过合同关键信息无法判断是否得分的，也可以提供能证明得分的其它证明资料，如项目报告或合同甲方出具的证明文件；</w:t>
            </w:r>
          </w:p>
          <w:p>
            <w:pPr>
              <w:adjustRightInd w:val="0"/>
              <w:snapToGrid w:val="0"/>
              <w:spacing w:line="360" w:lineRule="exact"/>
              <w:rPr>
                <w:rFonts w:ascii="宋体" w:hAnsi="宋体" w:cs="宋体" w:eastAsiaTheme="minorEastAsia"/>
                <w:szCs w:val="21"/>
              </w:rPr>
            </w:pPr>
            <w:r>
              <w:rPr>
                <w:rFonts w:hint="eastAsia" w:ascii="宋体" w:hAnsi="宋体"/>
                <w:szCs w:val="21"/>
              </w:rPr>
              <w:t>3.</w:t>
            </w:r>
            <w:r>
              <w:rPr>
                <w:rFonts w:hint="eastAsia" w:ascii="宋体" w:hAnsi="宋体"/>
                <w:kern w:val="0"/>
                <w:szCs w:val="21"/>
              </w:rPr>
              <w:t>以上</w:t>
            </w:r>
            <w:r>
              <w:rPr>
                <w:rFonts w:hint="eastAsia" w:ascii="宋体" w:hAnsi="宋体"/>
                <w:szCs w:val="21"/>
              </w:rPr>
              <w:t>证明文件</w:t>
            </w:r>
            <w:r>
              <w:rPr>
                <w:rFonts w:hint="eastAsia" w:ascii="宋体" w:hAnsi="宋体"/>
                <w:kern w:val="0"/>
                <w:szCs w:val="21"/>
              </w:rPr>
              <w:t>均提供复印件或扫描件加盖投标人公章，原件备查。</w:t>
            </w:r>
            <w:r>
              <w:rPr>
                <w:rFonts w:hint="eastAsia" w:ascii="宋体" w:hAnsi="宋体"/>
                <w:szCs w:val="21"/>
              </w:rPr>
              <w:t>未按要求提供有效证明材料或提供不清晰导致评委无法识别的不计得分。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5"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3</w:t>
            </w:r>
          </w:p>
        </w:tc>
        <w:tc>
          <w:tcPr>
            <w:tcW w:w="1143" w:type="dxa"/>
            <w:vAlign w:val="center"/>
          </w:tcPr>
          <w:p>
            <w:pPr>
              <w:widowControl/>
              <w:spacing w:line="360" w:lineRule="exact"/>
              <w:jc w:val="center"/>
              <w:rPr>
                <w:rFonts w:ascii="宋体" w:hAnsi="宋体"/>
                <w:szCs w:val="21"/>
              </w:rPr>
            </w:pPr>
            <w:r>
              <w:rPr>
                <w:rFonts w:hint="eastAsia" w:ascii="宋体" w:hAnsi="宋体" w:cs="宋体"/>
                <w:kern w:val="0"/>
                <w:szCs w:val="21"/>
              </w:rPr>
              <w:t>相关认证情况</w:t>
            </w:r>
          </w:p>
        </w:tc>
        <w:tc>
          <w:tcPr>
            <w:tcW w:w="709" w:type="dxa"/>
            <w:vAlign w:val="center"/>
          </w:tcPr>
          <w:p>
            <w:pPr>
              <w:widowControl/>
              <w:spacing w:line="360" w:lineRule="exact"/>
              <w:jc w:val="center"/>
              <w:rPr>
                <w:rFonts w:ascii="宋体" w:hAnsi="宋体"/>
                <w:szCs w:val="21"/>
              </w:rPr>
            </w:pPr>
            <w:r>
              <w:rPr>
                <w:rFonts w:hint="eastAsia" w:ascii="宋体" w:hAnsi="宋体"/>
                <w:szCs w:val="21"/>
              </w:rPr>
              <w:t>10</w:t>
            </w:r>
          </w:p>
        </w:tc>
        <w:tc>
          <w:tcPr>
            <w:tcW w:w="5953" w:type="dxa"/>
            <w:vAlign w:val="center"/>
          </w:tcPr>
          <w:p>
            <w:pPr>
              <w:pStyle w:val="94"/>
              <w:spacing w:line="360" w:lineRule="exact"/>
              <w:ind w:firstLine="0" w:firstLineChars="0"/>
              <w:rPr>
                <w:rFonts w:ascii="宋体" w:hAnsi="宋体" w:cs="宋体" w:eastAsiaTheme="minorEastAsia"/>
                <w:szCs w:val="21"/>
              </w:rPr>
            </w:pPr>
            <w:r>
              <w:rPr>
                <w:rFonts w:hint="eastAsia" w:ascii="宋体" w:hAnsi="宋体" w:cs="宋体" w:eastAsiaTheme="minorEastAsia"/>
                <w:szCs w:val="21"/>
              </w:rPr>
              <w:t>（一）评分内容：</w:t>
            </w:r>
          </w:p>
          <w:p>
            <w:pPr>
              <w:pStyle w:val="94"/>
              <w:spacing w:line="360" w:lineRule="exact"/>
              <w:ind w:firstLine="0" w:firstLineChars="0"/>
              <w:rPr>
                <w:rFonts w:ascii="宋体" w:hAnsi="宋体" w:cs="宋体"/>
              </w:rPr>
            </w:pPr>
            <w:r>
              <w:rPr>
                <w:rFonts w:hint="eastAsia" w:ascii="宋体" w:hAnsi="宋体" w:cs="宋体"/>
              </w:rPr>
              <w:t>1.投标人具有ISO9001质量管理体系认证证书，得2.5分；</w:t>
            </w:r>
          </w:p>
          <w:p>
            <w:pPr>
              <w:pStyle w:val="94"/>
              <w:spacing w:line="360" w:lineRule="exact"/>
              <w:ind w:firstLine="0" w:firstLineChars="0"/>
              <w:rPr>
                <w:rFonts w:ascii="宋体" w:hAnsi="宋体" w:cs="宋体"/>
              </w:rPr>
            </w:pPr>
            <w:r>
              <w:rPr>
                <w:rFonts w:hint="eastAsia" w:ascii="宋体" w:hAnsi="宋体" w:cs="宋体"/>
              </w:rPr>
              <w:t>2.投标人具有ISO27001信息安全管理体系认证证书，得2.5分；</w:t>
            </w:r>
          </w:p>
          <w:p>
            <w:pPr>
              <w:pStyle w:val="94"/>
              <w:spacing w:line="360" w:lineRule="exact"/>
              <w:ind w:firstLine="0" w:firstLineChars="0"/>
              <w:rPr>
                <w:rFonts w:ascii="宋体" w:hAnsi="宋体" w:cs="宋体"/>
              </w:rPr>
            </w:pPr>
            <w:r>
              <w:rPr>
                <w:rFonts w:hint="eastAsia" w:ascii="宋体" w:hAnsi="宋体" w:cs="宋体"/>
              </w:rPr>
              <w:t>3.投标人具有CMMI3或以上认证，得2.5分；</w:t>
            </w:r>
          </w:p>
          <w:p>
            <w:pPr>
              <w:pStyle w:val="94"/>
              <w:spacing w:line="360" w:lineRule="exact"/>
              <w:ind w:firstLine="0" w:firstLineChars="0"/>
              <w:rPr>
                <w:rFonts w:ascii="宋体" w:hAnsi="宋体" w:cs="宋体"/>
              </w:rPr>
            </w:pPr>
            <w:r>
              <w:rPr>
                <w:rFonts w:hint="eastAsia" w:ascii="宋体" w:hAnsi="宋体" w:cs="宋体"/>
              </w:rPr>
              <w:t>4.投标人具有高新技术企业认证，得2.5分。</w:t>
            </w:r>
          </w:p>
          <w:p>
            <w:pPr>
              <w:pStyle w:val="94"/>
              <w:spacing w:line="360" w:lineRule="exact"/>
              <w:ind w:firstLine="0" w:firstLineChars="0"/>
              <w:rPr>
                <w:rFonts w:ascii="宋体" w:hAnsi="宋体" w:cs="宋体"/>
              </w:rPr>
            </w:pPr>
            <w:r>
              <w:rPr>
                <w:rFonts w:hint="eastAsia" w:ascii="宋体" w:hAnsi="宋体" w:cs="宋体"/>
              </w:rPr>
              <w:t>以上4项可累计计分，最高可得10分。</w:t>
            </w:r>
          </w:p>
          <w:p>
            <w:pPr>
              <w:pStyle w:val="94"/>
              <w:spacing w:line="360" w:lineRule="exact"/>
              <w:ind w:firstLine="0" w:firstLineChars="0"/>
              <w:rPr>
                <w:rFonts w:ascii="宋体" w:hAnsi="宋体" w:cs="宋体" w:eastAsiaTheme="minorEastAsia"/>
                <w:szCs w:val="21"/>
              </w:rPr>
            </w:pPr>
            <w:r>
              <w:rPr>
                <w:rFonts w:hint="eastAsia" w:ascii="宋体" w:hAnsi="宋体" w:cs="宋体" w:eastAsiaTheme="minorEastAsia"/>
                <w:szCs w:val="21"/>
              </w:rPr>
              <w:t>（二）评分依据：</w:t>
            </w:r>
          </w:p>
          <w:p>
            <w:pPr>
              <w:pStyle w:val="94"/>
              <w:spacing w:line="360" w:lineRule="exact"/>
              <w:ind w:firstLine="0" w:firstLineChars="0"/>
            </w:pPr>
            <w:r>
              <w:rPr>
                <w:rFonts w:hint="eastAsia" w:ascii="宋体" w:hAnsi="宋体"/>
                <w:szCs w:val="21"/>
              </w:rPr>
              <w:t>投标人须提供以上有效期内的证书扫描件或复印件加盖投标人公章，未提供或不符合的或不清晰导致评标委员会无法判定的情况均不得分。</w:t>
            </w:r>
            <w:r>
              <w:rPr>
                <w:rFonts w:hint="eastAsia"/>
              </w:rPr>
              <w:t>（以上材料原件备查）</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lang w:val="zh-CN"/>
              </w:rPr>
              <w:t>三、商务部分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62"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1</w:t>
            </w:r>
          </w:p>
        </w:tc>
        <w:tc>
          <w:tcPr>
            <w:tcW w:w="1143" w:type="dxa"/>
            <w:vAlign w:val="center"/>
          </w:tcPr>
          <w:p>
            <w:pPr>
              <w:spacing w:line="360" w:lineRule="exact"/>
              <w:jc w:val="center"/>
              <w:rPr>
                <w:rFonts w:ascii="宋体" w:hAnsi="宋体" w:cs="宋体"/>
                <w:kern w:val="0"/>
                <w:szCs w:val="21"/>
              </w:rPr>
            </w:pPr>
            <w:r>
              <w:rPr>
                <w:rFonts w:hint="eastAsia" w:ascii="宋体" w:hAnsi="宋体" w:cs="宋体"/>
                <w:szCs w:val="21"/>
              </w:rPr>
              <w:t>拟安排的项目负责人</w:t>
            </w:r>
          </w:p>
        </w:tc>
        <w:tc>
          <w:tcPr>
            <w:tcW w:w="709" w:type="dxa"/>
            <w:vAlign w:val="center"/>
          </w:tcPr>
          <w:p>
            <w:pPr>
              <w:spacing w:line="360" w:lineRule="exact"/>
              <w:ind w:firstLine="210" w:firstLineChars="100"/>
              <w:rPr>
                <w:rFonts w:ascii="宋体" w:hAnsi="宋体" w:cs="宋体"/>
                <w:kern w:val="0"/>
                <w:szCs w:val="21"/>
              </w:rPr>
            </w:pPr>
            <w:r>
              <w:rPr>
                <w:rFonts w:hint="eastAsia" w:ascii="宋体" w:hAnsi="宋体" w:cs="宋体"/>
                <w:bCs/>
                <w:color w:val="000000" w:themeColor="text1"/>
                <w:szCs w:val="21"/>
                <w14:textFill>
                  <w14:solidFill>
                    <w14:schemeClr w14:val="tx1"/>
                  </w14:solidFill>
                </w14:textFill>
              </w:rPr>
              <w:t>15</w:t>
            </w:r>
          </w:p>
        </w:tc>
        <w:tc>
          <w:tcPr>
            <w:tcW w:w="5953" w:type="dxa"/>
            <w:vAlign w:val="center"/>
          </w:tcPr>
          <w:p>
            <w:pPr>
              <w:spacing w:line="360" w:lineRule="exact"/>
              <w:rPr>
                <w:rFonts w:ascii="宋体" w:hAnsi="宋体" w:cs="宋体"/>
                <w:szCs w:val="21"/>
                <w:lang w:val="zh-CN"/>
              </w:rPr>
            </w:pPr>
            <w:r>
              <w:rPr>
                <w:rFonts w:hint="eastAsia" w:ascii="宋体" w:hAnsi="宋体" w:cs="宋体"/>
                <w:szCs w:val="21"/>
                <w:lang w:val="zh-CN"/>
              </w:rPr>
              <w:t>（</w:t>
            </w:r>
            <w:r>
              <w:rPr>
                <w:rFonts w:hint="eastAsia" w:ascii="宋体" w:hAnsi="宋体" w:cs="宋体"/>
                <w:szCs w:val="21"/>
              </w:rPr>
              <w:t>一</w:t>
            </w:r>
            <w:r>
              <w:rPr>
                <w:rFonts w:hint="eastAsia" w:ascii="宋体" w:hAnsi="宋体" w:cs="宋体"/>
                <w:szCs w:val="21"/>
                <w:lang w:val="zh-CN"/>
              </w:rPr>
              <w:t>）</w:t>
            </w:r>
            <w:r>
              <w:rPr>
                <w:rFonts w:hint="eastAsia" w:ascii="宋体" w:hAnsi="宋体" w:cs="宋体"/>
                <w:szCs w:val="21"/>
              </w:rPr>
              <w:t>评分内容</w:t>
            </w:r>
          </w:p>
          <w:p>
            <w:pPr>
              <w:spacing w:line="360" w:lineRule="exact"/>
            </w:pPr>
            <w:r>
              <w:rPr>
                <w:rFonts w:hint="eastAsia"/>
              </w:rPr>
              <w:t>拟安排的项目负责人需为投标人正式聘任员工，需提供社保证明，否则本项不得分。在此基础上，按以下标准评分：</w:t>
            </w:r>
          </w:p>
          <w:p>
            <w:pPr>
              <w:pStyle w:val="2"/>
              <w:spacing w:after="0" w:line="360" w:lineRule="exact"/>
              <w:rPr>
                <w:rFonts w:ascii="宋体" w:hAnsi="宋体" w:cs="宋体"/>
              </w:rPr>
            </w:pPr>
            <w:r>
              <w:rPr>
                <w:rFonts w:hint="eastAsia" w:ascii="宋体" w:hAnsi="宋体" w:cs="宋体"/>
              </w:rPr>
              <w:t>1.具有本科或以上学历的</w:t>
            </w:r>
            <w:r>
              <w:rPr>
                <w:rFonts w:hint="eastAsia" w:ascii="宋体" w:hAnsi="宋体" w:cs="宋体"/>
                <w:lang w:eastAsia="zh-CN"/>
              </w:rPr>
              <w:t>，</w:t>
            </w:r>
            <w:r>
              <w:rPr>
                <w:rFonts w:hint="eastAsia" w:ascii="宋体" w:hAnsi="宋体" w:cs="宋体"/>
              </w:rPr>
              <w:t>得6分；</w:t>
            </w:r>
          </w:p>
          <w:p>
            <w:pPr>
              <w:pStyle w:val="2"/>
              <w:spacing w:after="0" w:line="360" w:lineRule="exact"/>
            </w:pPr>
            <w:r>
              <w:rPr>
                <w:rFonts w:hint="eastAsia" w:ascii="宋体" w:hAnsi="宋体" w:cs="宋体"/>
              </w:rPr>
              <w:t>2.</w:t>
            </w:r>
            <w:r>
              <w:rPr>
                <w:rFonts w:hint="eastAsia" w:ascii="宋体" w:hAnsi="宋体" w:cs="宋体"/>
                <w:lang w:val="en-US" w:eastAsia="zh-CN"/>
              </w:rPr>
              <w:t>具有通过</w:t>
            </w:r>
            <w:r>
              <w:rPr>
                <w:rFonts w:hint="eastAsia" w:ascii="宋体" w:hAnsi="宋体" w:cs="宋体"/>
              </w:rPr>
              <w:t>中国计算机技术职业</w:t>
            </w:r>
            <w:r>
              <w:rPr>
                <w:rFonts w:hint="eastAsia" w:ascii="宋体" w:hAnsi="宋体" w:cs="宋体"/>
                <w:lang w:val="en-US" w:eastAsia="zh-CN"/>
              </w:rPr>
              <w:t>高级</w:t>
            </w:r>
            <w:r>
              <w:rPr>
                <w:rFonts w:hint="eastAsia" w:ascii="宋体" w:hAnsi="宋体" w:cs="宋体"/>
              </w:rPr>
              <w:t>资格</w:t>
            </w:r>
            <w:r>
              <w:rPr>
                <w:rFonts w:hint="eastAsia" w:ascii="宋体" w:hAnsi="宋体" w:cs="宋体"/>
                <w:lang w:val="en-US" w:eastAsia="zh-CN"/>
              </w:rPr>
              <w:t>考试并获得</w:t>
            </w:r>
            <w:r>
              <w:rPr>
                <w:rFonts w:hint="eastAsia"/>
              </w:rPr>
              <w:t>信息系统项目管理师</w:t>
            </w:r>
            <w:r>
              <w:rPr>
                <w:rFonts w:hint="eastAsia"/>
                <w:lang w:val="en-US" w:eastAsia="zh-CN"/>
              </w:rPr>
              <w:t>证书</w:t>
            </w:r>
            <w:r>
              <w:rPr>
                <w:rFonts w:hint="eastAsia" w:ascii="宋体" w:hAnsi="宋体" w:cs="宋体"/>
              </w:rPr>
              <w:t>的</w:t>
            </w:r>
            <w:r>
              <w:rPr>
                <w:rFonts w:hint="eastAsia" w:ascii="宋体" w:hAnsi="宋体" w:cs="宋体"/>
                <w:lang w:eastAsia="zh-CN"/>
              </w:rPr>
              <w:t>，</w:t>
            </w:r>
            <w:r>
              <w:rPr>
                <w:rFonts w:hint="eastAsia" w:ascii="宋体" w:hAnsi="宋体" w:cs="宋体"/>
              </w:rPr>
              <w:t>得6分</w:t>
            </w:r>
            <w:r>
              <w:t>；</w:t>
            </w:r>
          </w:p>
          <w:p>
            <w:pPr>
              <w:rPr>
                <w:rFonts w:ascii="宋体" w:hAnsi="宋体" w:cs="宋体"/>
              </w:rPr>
            </w:pPr>
            <w:r>
              <w:rPr>
                <w:rFonts w:hint="eastAsia" w:ascii="宋体" w:hAnsi="宋体" w:cs="宋体"/>
              </w:rPr>
              <w:t>3.具有PMP</w:t>
            </w:r>
            <w:r>
              <w:rPr>
                <w:rFonts w:hint="eastAsia"/>
              </w:rPr>
              <w:t>（项目管理专业人员）资格认证的</w:t>
            </w:r>
            <w:r>
              <w:rPr>
                <w:rFonts w:hint="eastAsia"/>
                <w:lang w:eastAsia="zh-CN"/>
              </w:rPr>
              <w:t>，</w:t>
            </w:r>
            <w:r>
              <w:rPr>
                <w:rFonts w:hint="eastAsia"/>
              </w:rPr>
              <w:t>得</w:t>
            </w:r>
            <w:r>
              <w:rPr>
                <w:rFonts w:hint="eastAsia" w:ascii="宋体" w:hAnsi="宋体" w:cs="宋体"/>
              </w:rPr>
              <w:t>3分。</w:t>
            </w:r>
          </w:p>
          <w:p>
            <w:pPr>
              <w:spacing w:line="360" w:lineRule="exact"/>
              <w:rPr>
                <w:rFonts w:ascii="宋体" w:hAnsi="宋体" w:cs="宋体"/>
                <w:szCs w:val="21"/>
                <w:lang w:val="zh-CN"/>
              </w:rPr>
            </w:pPr>
            <w:r>
              <w:rPr>
                <w:rFonts w:hint="eastAsia" w:ascii="宋体" w:hAnsi="宋体" w:cs="宋体"/>
                <w:szCs w:val="21"/>
                <w:lang w:val="zh-CN"/>
              </w:rPr>
              <w:t>（二）评分依据：</w:t>
            </w:r>
          </w:p>
          <w:p>
            <w:pPr>
              <w:spacing w:line="360" w:lineRule="exact"/>
              <w:rPr>
                <w:rFonts w:ascii="宋体" w:hAnsi="宋体" w:cs="宋体"/>
                <w:szCs w:val="21"/>
                <w:lang w:val="zh-CN"/>
              </w:rPr>
            </w:pPr>
            <w:r>
              <w:rPr>
                <w:rFonts w:hint="eastAsia" w:ascii="宋体" w:hAnsi="宋体" w:cs="宋体"/>
                <w:szCs w:val="21"/>
                <w:lang w:val="zh-CN"/>
              </w:rPr>
              <w:t>1.提供</w:t>
            </w:r>
            <w:r>
              <w:rPr>
                <w:rFonts w:hint="eastAsia" w:ascii="宋体" w:hAnsi="宋体" w:cs="宋体"/>
                <w:szCs w:val="21"/>
              </w:rPr>
              <w:t>项目负责人</w:t>
            </w:r>
            <w:r>
              <w:rPr>
                <w:rFonts w:hint="eastAsia" w:ascii="宋体" w:hAnsi="宋体" w:cs="宋体"/>
                <w:szCs w:val="21"/>
                <w:lang w:val="zh-CN"/>
              </w:rPr>
              <w:t>上述资格证书，学历证书；</w:t>
            </w:r>
          </w:p>
          <w:p>
            <w:pPr>
              <w:spacing w:line="360" w:lineRule="exact"/>
              <w:rPr>
                <w:rFonts w:ascii="宋体" w:hAnsi="宋体" w:cs="宋体"/>
                <w:szCs w:val="21"/>
                <w:lang w:val="zh-CN"/>
              </w:rPr>
            </w:pPr>
            <w:r>
              <w:rPr>
                <w:rFonts w:hint="eastAsia" w:ascii="宋体" w:hAnsi="宋体" w:cs="宋体"/>
                <w:szCs w:val="21"/>
                <w:lang w:val="zh-CN"/>
              </w:rPr>
              <w:t>2.提供通过投标单位缴纳的载有社保部门公章的近三个月个人社保证明，如开标日前近一个月的社保证明因社保部门原因暂时无法提供，可往前顺延一个月；</w:t>
            </w:r>
          </w:p>
          <w:p>
            <w:pPr>
              <w:spacing w:line="360" w:lineRule="exact"/>
              <w:rPr>
                <w:rFonts w:ascii="宋体" w:hAnsi="宋体" w:cs="宋体"/>
                <w:szCs w:val="21"/>
                <w:lang w:val="zh-CN"/>
              </w:rPr>
            </w:pPr>
            <w:r>
              <w:rPr>
                <w:rFonts w:hint="eastAsia" w:ascii="宋体" w:hAnsi="宋体" w:cs="宋体"/>
                <w:szCs w:val="21"/>
              </w:rPr>
              <w:t>3.</w:t>
            </w:r>
            <w:r>
              <w:rPr>
                <w:rFonts w:hint="eastAsia" w:ascii="宋体" w:hAnsi="宋体" w:cs="宋体"/>
                <w:szCs w:val="21"/>
                <w:lang w:val="zh-CN"/>
              </w:rPr>
              <w:t>以上证明材料均须加盖投标人公章，评分中出现无证明资料或专家无法凭所提供资料判断是否得分的情况，一律作不得分处理。</w:t>
            </w:r>
          </w:p>
        </w:tc>
        <w:tc>
          <w:tcPr>
            <w:tcW w:w="1187"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2</w:t>
            </w:r>
          </w:p>
        </w:tc>
        <w:tc>
          <w:tcPr>
            <w:tcW w:w="1143" w:type="dxa"/>
            <w:vAlign w:val="center"/>
          </w:tcPr>
          <w:p>
            <w:pPr>
              <w:spacing w:line="360" w:lineRule="exact"/>
              <w:jc w:val="center"/>
              <w:rPr>
                <w:rFonts w:ascii="宋体" w:hAnsi="宋体" w:cs="宋体"/>
                <w:kern w:val="0"/>
                <w:szCs w:val="21"/>
              </w:rPr>
            </w:pPr>
            <w:r>
              <w:rPr>
                <w:rFonts w:hint="eastAsia" w:ascii="宋体" w:hAnsi="宋体" w:cs="宋体"/>
                <w:szCs w:val="21"/>
              </w:rPr>
              <w:t>拟安排的项目团队人员情况</w:t>
            </w:r>
          </w:p>
        </w:tc>
        <w:tc>
          <w:tcPr>
            <w:tcW w:w="709" w:type="dxa"/>
            <w:vAlign w:val="center"/>
          </w:tcPr>
          <w:p>
            <w:pPr>
              <w:spacing w:line="360" w:lineRule="exact"/>
              <w:jc w:val="center"/>
              <w:rPr>
                <w:rFonts w:ascii="宋体" w:hAnsi="宋体" w:cs="宋体"/>
                <w:kern w:val="0"/>
                <w:szCs w:val="21"/>
              </w:rPr>
            </w:pPr>
            <w:r>
              <w:rPr>
                <w:rFonts w:hint="eastAsia" w:ascii="宋体" w:hAnsi="宋体" w:cs="宋体"/>
                <w:color w:val="000000" w:themeColor="text1"/>
                <w:szCs w:val="21"/>
                <w14:textFill>
                  <w14:solidFill>
                    <w14:schemeClr w14:val="tx1"/>
                  </w14:solidFill>
                </w14:textFill>
              </w:rPr>
              <w:t>10</w:t>
            </w:r>
          </w:p>
        </w:tc>
        <w:tc>
          <w:tcPr>
            <w:tcW w:w="5953" w:type="dxa"/>
            <w:vAlign w:val="center"/>
          </w:tcPr>
          <w:p>
            <w:pPr>
              <w:spacing w:line="360" w:lineRule="exac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（一）评分内容：</w:t>
            </w:r>
          </w:p>
          <w:p>
            <w:pPr>
              <w:spacing w:line="360" w:lineRule="exact"/>
            </w:pPr>
            <w:r>
              <w:rPr>
                <w:rFonts w:hint="eastAsia"/>
              </w:rPr>
              <w:t>拟安排的项目团队人员需为投标人正式聘任员工，需提供社保证明，否则本项不得分。在此基础上，按以下标准评分：</w:t>
            </w:r>
          </w:p>
          <w:p>
            <w:pPr>
              <w:spacing w:line="360" w:lineRule="exac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1.每提供1名团队人员（项目</w:t>
            </w:r>
            <w:r>
              <w:rPr>
                <w:rFonts w:hint="eastAsia" w:ascii="宋体" w:hAnsi="宋体" w:cs="宋体"/>
                <w:bCs/>
                <w:color w:val="000000" w:themeColor="text1"/>
                <w:szCs w:val="21"/>
                <w:lang w:eastAsia="zh-Hans"/>
                <w14:textFill>
                  <w14:solidFill>
                    <w14:schemeClr w14:val="tx1"/>
                  </w14:solidFill>
                </w14:textFill>
              </w:rPr>
              <w:t>技术</w:t>
            </w:r>
            <w:r>
              <w:rPr>
                <w:rFonts w:hint="eastAsia" w:ascii="宋体" w:hAnsi="宋体" w:cs="宋体"/>
                <w:bCs/>
                <w:color w:val="000000" w:themeColor="text1"/>
                <w:szCs w:val="21"/>
                <w14:textFill>
                  <w14:solidFill>
                    <w14:schemeClr w14:val="tx1"/>
                  </w14:solidFill>
                </w14:textFill>
              </w:rPr>
              <w:t>负责人除外）具有大专或以上学历的，得4分，最高得4分；</w:t>
            </w:r>
          </w:p>
          <w:p>
            <w:pPr>
              <w:spacing w:line="360" w:lineRule="exac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2. 每提供1名团队人员（项目</w:t>
            </w:r>
            <w:r>
              <w:rPr>
                <w:rFonts w:hint="eastAsia" w:ascii="宋体" w:hAnsi="宋体" w:cs="宋体"/>
                <w:bCs/>
                <w:color w:val="000000" w:themeColor="text1"/>
                <w:szCs w:val="21"/>
                <w:lang w:eastAsia="zh-Hans"/>
                <w14:textFill>
                  <w14:solidFill>
                    <w14:schemeClr w14:val="tx1"/>
                  </w14:solidFill>
                </w14:textFill>
              </w:rPr>
              <w:t>技术</w:t>
            </w:r>
            <w:r>
              <w:rPr>
                <w:rFonts w:hint="eastAsia" w:ascii="宋体" w:hAnsi="宋体" w:cs="宋体"/>
                <w:bCs/>
                <w:color w:val="000000" w:themeColor="text1"/>
                <w:szCs w:val="21"/>
                <w14:textFill>
                  <w14:solidFill>
                    <w14:schemeClr w14:val="tx1"/>
                  </w14:solidFill>
                </w14:textFill>
              </w:rPr>
              <w:t>负责人除外）具有</w:t>
            </w:r>
            <w:r>
              <w:rPr>
                <w:rFonts w:hint="eastAsia" w:ascii="宋体" w:hAnsi="宋体" w:cs="宋体"/>
                <w:lang w:val="en-US" w:eastAsia="zh-CN"/>
              </w:rPr>
              <w:t>通过</w:t>
            </w:r>
            <w:r>
              <w:rPr>
                <w:rFonts w:hint="eastAsia" w:ascii="宋体" w:hAnsi="宋体" w:cs="宋体"/>
              </w:rPr>
              <w:t>中国计算机技术职业</w:t>
            </w:r>
            <w:r>
              <w:rPr>
                <w:rFonts w:hint="eastAsia" w:ascii="宋体" w:hAnsi="宋体" w:cs="宋体"/>
                <w:lang w:val="en-US" w:eastAsia="zh-CN"/>
              </w:rPr>
              <w:t>中级</w:t>
            </w:r>
            <w:r>
              <w:rPr>
                <w:rFonts w:hint="eastAsia" w:ascii="宋体" w:hAnsi="宋体" w:cs="宋体"/>
              </w:rPr>
              <w:t>资格</w:t>
            </w:r>
            <w:r>
              <w:rPr>
                <w:rFonts w:hint="eastAsia" w:ascii="宋体" w:hAnsi="宋体" w:cs="宋体"/>
                <w:lang w:val="en-US" w:eastAsia="zh-CN"/>
              </w:rPr>
              <w:t>考试并获得</w:t>
            </w:r>
            <w:r>
              <w:rPr>
                <w:rFonts w:hint="eastAsia"/>
              </w:rPr>
              <w:t>数据库系统工程师</w:t>
            </w:r>
            <w:r>
              <w:rPr>
                <w:rFonts w:hint="eastAsia"/>
                <w:lang w:val="en-US" w:eastAsia="zh-CN"/>
              </w:rPr>
              <w:t>证书</w:t>
            </w:r>
            <w:r>
              <w:rPr>
                <w:rFonts w:hint="eastAsia" w:ascii="宋体" w:hAnsi="宋体" w:cs="宋体"/>
              </w:rPr>
              <w:t>的</w:t>
            </w:r>
            <w:r>
              <w:rPr>
                <w:rFonts w:hint="eastAsia" w:ascii="宋体" w:hAnsi="宋体" w:cs="宋体"/>
                <w:bCs/>
                <w:color w:val="000000" w:themeColor="text1"/>
                <w:szCs w:val="21"/>
                <w14:textFill>
                  <w14:solidFill>
                    <w14:schemeClr w14:val="tx1"/>
                  </w14:solidFill>
                </w14:textFill>
              </w:rPr>
              <w:t>，得6分，最高得6分；</w:t>
            </w:r>
            <w:r>
              <w:rPr>
                <w:rFonts w:hint="eastAsia" w:ascii="宋体" w:hAnsi="宋体" w:cs="宋体"/>
                <w:bCs/>
                <w:color w:val="000000" w:themeColor="text1"/>
                <w:szCs w:val="21"/>
                <w14:textFill>
                  <w14:solidFill>
                    <w14:schemeClr w14:val="tx1"/>
                  </w14:solidFill>
                </w14:textFill>
              </w:rPr>
              <w:br w:type="textWrapping"/>
            </w:r>
            <w:r>
              <w:rPr>
                <w:rFonts w:hint="eastAsia" w:ascii="宋体" w:hAnsi="宋体" w:cs="宋体"/>
                <w:bCs/>
                <w:color w:val="000000" w:themeColor="text1"/>
                <w:szCs w:val="21"/>
                <w14:textFill>
                  <w14:solidFill>
                    <w14:schemeClr w14:val="tx1"/>
                  </w14:solidFill>
                </w14:textFill>
              </w:rPr>
              <w:t>（二）评分依据：</w:t>
            </w:r>
          </w:p>
          <w:p>
            <w:pPr>
              <w:spacing w:line="360" w:lineRule="exact"/>
              <w:rPr>
                <w:rFonts w:ascii="宋体" w:hAnsi="宋体" w:cs="宋体"/>
                <w:szCs w:val="21"/>
                <w:lang w:val="zh-CN"/>
              </w:rPr>
            </w:pPr>
            <w:r>
              <w:rPr>
                <w:rFonts w:hint="eastAsia" w:ascii="宋体" w:hAnsi="宋体" w:cs="宋体"/>
                <w:szCs w:val="21"/>
                <w:lang w:val="zh-CN"/>
              </w:rPr>
              <w:t>1.提供</w:t>
            </w:r>
            <w:r>
              <w:rPr>
                <w:rFonts w:hint="eastAsia" w:ascii="宋体" w:hAnsi="宋体" w:cs="宋体"/>
                <w:szCs w:val="21"/>
              </w:rPr>
              <w:t>项目团队人员</w:t>
            </w:r>
            <w:r>
              <w:rPr>
                <w:rFonts w:hint="eastAsia" w:ascii="宋体" w:hAnsi="宋体" w:cs="宋体"/>
                <w:szCs w:val="21"/>
                <w:lang w:val="zh-CN"/>
              </w:rPr>
              <w:t>上述资格证书，学历证书；</w:t>
            </w:r>
          </w:p>
          <w:p>
            <w:pPr>
              <w:spacing w:line="360" w:lineRule="exact"/>
              <w:rPr>
                <w:rFonts w:ascii="宋体" w:hAnsi="宋体" w:cs="宋体"/>
                <w:szCs w:val="21"/>
                <w:lang w:val="zh-CN"/>
              </w:rPr>
            </w:pPr>
            <w:r>
              <w:rPr>
                <w:rFonts w:hint="eastAsia" w:ascii="宋体" w:hAnsi="宋体" w:cs="宋体"/>
                <w:szCs w:val="21"/>
                <w:lang w:val="zh-CN"/>
              </w:rPr>
              <w:t>2.提供通过投标单位缴纳的载有社保部门公章的近三个月个人社保证明，如开标日前近一个月的社保证明因社保部门原因暂时无法提供，可往前顺延一个月；</w:t>
            </w:r>
          </w:p>
          <w:p>
            <w:pPr>
              <w:spacing w:line="360" w:lineRule="exact"/>
              <w:rPr>
                <w:rFonts w:ascii="宋体" w:hAnsi="宋体" w:cs="宋体"/>
                <w:b/>
                <w:color w:val="000000" w:themeColor="text1"/>
                <w:szCs w:val="21"/>
                <w14:textFill>
                  <w14:solidFill>
                    <w14:schemeClr w14:val="tx1"/>
                  </w14:solidFill>
                </w14:textFill>
              </w:rPr>
            </w:pPr>
            <w:r>
              <w:rPr>
                <w:rFonts w:hint="eastAsia" w:ascii="宋体" w:hAnsi="宋体" w:cs="宋体"/>
                <w:szCs w:val="21"/>
              </w:rPr>
              <w:t>3.</w:t>
            </w:r>
            <w:r>
              <w:rPr>
                <w:rFonts w:hint="eastAsia" w:ascii="宋体" w:hAnsi="宋体" w:cs="宋体"/>
                <w:szCs w:val="21"/>
                <w:lang w:val="zh-CN"/>
              </w:rPr>
              <w:t>以上证明材料均须加盖投标人公章，评分中出现无证明资料或专家无法凭所提供资料判断是否得分的情况，一律作不得分处理。</w:t>
            </w:r>
          </w:p>
        </w:tc>
        <w:tc>
          <w:tcPr>
            <w:tcW w:w="1187"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3</w:t>
            </w:r>
          </w:p>
        </w:tc>
        <w:tc>
          <w:tcPr>
            <w:tcW w:w="1143" w:type="dxa"/>
            <w:vAlign w:val="center"/>
          </w:tcPr>
          <w:p>
            <w:pPr>
              <w:spacing w:line="360" w:lineRule="exact"/>
              <w:jc w:val="center"/>
              <w:rPr>
                <w:rFonts w:ascii="宋体" w:hAnsi="宋体" w:cs="宋体"/>
                <w:kern w:val="0"/>
                <w:szCs w:val="21"/>
                <w:lang w:bidi="ar"/>
              </w:rPr>
            </w:pPr>
            <w:bookmarkStart w:id="101" w:name="_GoBack"/>
            <w:r>
              <w:rPr>
                <w:rFonts w:hint="eastAsia" w:ascii="宋体" w:hAnsi="宋体"/>
                <w:szCs w:val="21"/>
              </w:rPr>
              <w:t>服务网点</w:t>
            </w:r>
            <w:bookmarkEnd w:id="101"/>
          </w:p>
        </w:tc>
        <w:tc>
          <w:tcPr>
            <w:tcW w:w="709"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w:t>
            </w:r>
          </w:p>
        </w:tc>
        <w:tc>
          <w:tcPr>
            <w:tcW w:w="5953" w:type="dxa"/>
            <w:vAlign w:val="center"/>
          </w:tcPr>
          <w:p>
            <w:pPr>
              <w:spacing w:line="360" w:lineRule="exac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（一）评分内容：</w:t>
            </w:r>
          </w:p>
          <w:p>
            <w:pPr>
              <w:spacing w:line="360" w:lineRule="exac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投标人为深圳供应商，或非深圳供应商但在深圳有合法注册的分公司（或售后机构）得5分；投标人为非深圳供应商，但承诺中标后在深圳设立本地经营（服务）网点承诺的，得2.5分，其他情况不得分。</w:t>
            </w:r>
          </w:p>
          <w:p>
            <w:pPr>
              <w:spacing w:line="360" w:lineRule="exac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（二）评分依据：</w:t>
            </w:r>
          </w:p>
          <w:p>
            <w:pPr>
              <w:spacing w:line="360" w:lineRule="exac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请提供营业执照或设立本地经营（服务）网点的承诺（格式自拟）等相关证明文件，分公司的必须提供分公司营业执照扫描件，售后机构必须同时提供售后服务合作合同及售后机构营业执照扫描件作为得分依据。</w:t>
            </w:r>
          </w:p>
        </w:tc>
        <w:tc>
          <w:tcPr>
            <w:tcW w:w="1187" w:type="dxa"/>
            <w:vAlign w:val="center"/>
          </w:tcPr>
          <w:p>
            <w:pPr>
              <w:autoSpaceDE w:val="0"/>
              <w:autoSpaceDN w:val="0"/>
              <w:adjustRightInd w:val="0"/>
              <w:spacing w:line="360" w:lineRule="exact"/>
              <w:jc w:val="center"/>
              <w:rPr>
                <w:rFonts w:ascii="宋体" w:hAnsi="宋体" w:cs="仿宋"/>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47"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4</w:t>
            </w:r>
          </w:p>
        </w:tc>
        <w:tc>
          <w:tcPr>
            <w:tcW w:w="1143" w:type="dxa"/>
            <w:vAlign w:val="center"/>
          </w:tcPr>
          <w:p>
            <w:pPr>
              <w:spacing w:line="360" w:lineRule="exact"/>
              <w:jc w:val="center"/>
              <w:rPr>
                <w:rFonts w:ascii="宋体" w:hAnsi="宋体" w:cs="宋体"/>
                <w:szCs w:val="21"/>
              </w:rPr>
            </w:pPr>
            <w:r>
              <w:rPr>
                <w:rFonts w:hint="eastAsia" w:ascii="宋体" w:hAnsi="宋体" w:cs="宋体"/>
                <w:color w:val="000000" w:themeColor="text1"/>
                <w:szCs w:val="21"/>
                <w14:textFill>
                  <w14:solidFill>
                    <w14:schemeClr w14:val="tx1"/>
                  </w14:solidFill>
                </w14:textFill>
              </w:rPr>
              <w:t>诚信评审</w:t>
            </w:r>
          </w:p>
        </w:tc>
        <w:tc>
          <w:tcPr>
            <w:tcW w:w="709" w:type="dxa"/>
            <w:vAlign w:val="center"/>
          </w:tcPr>
          <w:p>
            <w:pPr>
              <w:spacing w:line="360" w:lineRule="exact"/>
              <w:jc w:val="center"/>
              <w:rPr>
                <w:rFonts w:ascii="宋体" w:hAnsi="宋体" w:cs="宋体"/>
                <w:szCs w:val="21"/>
              </w:rPr>
            </w:pPr>
            <w:r>
              <w:rPr>
                <w:rFonts w:ascii="宋体" w:hAnsi="宋体" w:cs="宋体"/>
                <w:color w:val="000000" w:themeColor="text1"/>
                <w:szCs w:val="21"/>
                <w14:textFill>
                  <w14:solidFill>
                    <w14:schemeClr w14:val="tx1"/>
                  </w14:solidFill>
                </w14:textFill>
              </w:rPr>
              <w:t>5</w:t>
            </w:r>
          </w:p>
        </w:tc>
        <w:tc>
          <w:tcPr>
            <w:tcW w:w="5953" w:type="dxa"/>
            <w:vAlign w:val="center"/>
          </w:tcPr>
          <w:p>
            <w:pPr>
              <w:spacing w:line="360" w:lineRule="exact"/>
              <w:rPr>
                <w:rFonts w:ascii="宋体" w:hAnsi="宋体" w:cs="宋体"/>
                <w:bCs/>
                <w:kern w:val="0"/>
                <w:szCs w:val="21"/>
              </w:rPr>
            </w:pPr>
            <w:r>
              <w:rPr>
                <w:rFonts w:hint="eastAsia" w:ascii="宋体" w:hAnsi="宋体" w:cs="宋体"/>
                <w:bCs/>
                <w:color w:val="000000" w:themeColor="text1"/>
                <w:szCs w:val="21"/>
                <w14:textFill>
                  <w14:solidFill>
                    <w14:schemeClr w14:val="tx1"/>
                  </w14:solidFill>
                </w14:textFill>
              </w:rPr>
              <w:t>（一）评分内容：</w:t>
            </w:r>
          </w:p>
          <w:p>
            <w:pPr>
              <w:tabs>
                <w:tab w:val="left" w:pos="175"/>
              </w:tabs>
              <w:spacing w:line="360" w:lineRule="exact"/>
              <w:ind w:left="33"/>
              <w:jc w:val="left"/>
              <w:rPr>
                <w:rFonts w:ascii="宋体" w:hAnsi="宋体" w:cs="宋体"/>
                <w:bCs/>
                <w:kern w:val="0"/>
                <w:szCs w:val="21"/>
              </w:rPr>
            </w:pPr>
            <w:r>
              <w:rPr>
                <w:rFonts w:hint="eastAsia" w:ascii="宋体" w:hAnsi="宋体" w:cs="宋体"/>
                <w:bCs/>
                <w:kern w:val="0"/>
                <w:szCs w:val="21"/>
              </w:rPr>
              <w:t>投标人参与政府采购活动在诚信管理中受过主管部门通报处理且仍在实施期限内的本项不得分，否则得5分。</w:t>
            </w:r>
          </w:p>
          <w:p>
            <w:pPr>
              <w:spacing w:line="360" w:lineRule="exact"/>
            </w:pPr>
            <w:r>
              <w:rPr>
                <w:rFonts w:hint="eastAsia" w:ascii="宋体" w:hAnsi="宋体" w:cs="宋体"/>
                <w:bCs/>
                <w:color w:val="000000" w:themeColor="text1"/>
                <w:szCs w:val="21"/>
                <w14:textFill>
                  <w14:solidFill>
                    <w14:schemeClr w14:val="tx1"/>
                  </w14:solidFill>
                </w14:textFill>
              </w:rPr>
              <w:t>（二）评分依据：</w:t>
            </w:r>
          </w:p>
          <w:p>
            <w:pPr>
              <w:tabs>
                <w:tab w:val="left" w:pos="175"/>
              </w:tabs>
              <w:spacing w:line="360" w:lineRule="exact"/>
              <w:ind w:left="33"/>
              <w:jc w:val="left"/>
              <w:rPr>
                <w:rFonts w:ascii="宋体" w:hAnsi="宋体" w:cs="宋体"/>
                <w:szCs w:val="21"/>
              </w:rPr>
            </w:pPr>
            <w:r>
              <w:rPr>
                <w:rFonts w:hint="eastAsia" w:ascii="宋体" w:hAnsi="宋体" w:cs="宋体"/>
                <w:bCs/>
                <w:kern w:val="0"/>
                <w:szCs w:val="21"/>
              </w:rPr>
              <w:t>投标人须按招标文件格式如实提供《诚信承诺函》原件加盖投标人公章，且承诺函格式及内容不得修改，否则不得分。如若投标人承诺与实际情况不相符，将按虚假应标报相关主管部门处理。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bl>
    <w:p>
      <w:pPr>
        <w:pStyle w:val="4"/>
        <w:spacing w:before="0" w:after="0"/>
        <w:jc w:val="left"/>
        <w:rPr>
          <w:rFonts w:asciiTheme="minorEastAsia" w:hAnsiTheme="minorEastAsia"/>
          <w:bCs w:val="0"/>
          <w:sz w:val="21"/>
          <w:szCs w:val="21"/>
        </w:rPr>
      </w:pPr>
      <w:bookmarkStart w:id="19" w:name="_Toc44691394"/>
      <w:bookmarkStart w:id="20" w:name="_Toc44690703"/>
      <w:bookmarkStart w:id="21" w:name="_Toc44690430"/>
      <w:bookmarkStart w:id="22" w:name="_Toc44691162"/>
      <w:bookmarkStart w:id="23" w:name="_Toc5983"/>
      <w:r>
        <w:rPr>
          <w:rFonts w:hint="eastAsia" w:asciiTheme="minorEastAsia" w:hAnsiTheme="minorEastAsia"/>
          <w:bCs w:val="0"/>
          <w:sz w:val="21"/>
          <w:szCs w:val="21"/>
        </w:rPr>
        <w:t>备注：</w:t>
      </w:r>
      <w:bookmarkEnd w:id="19"/>
      <w:bookmarkEnd w:id="20"/>
      <w:bookmarkEnd w:id="21"/>
      <w:bookmarkEnd w:id="22"/>
      <w:bookmarkEnd w:id="23"/>
    </w:p>
    <w:p>
      <w:pPr>
        <w:pStyle w:val="5"/>
        <w:spacing w:before="0" w:after="0"/>
      </w:pPr>
      <w:bookmarkStart w:id="24" w:name="_Toc15270"/>
      <w:r>
        <w:rPr>
          <w:rFonts w:hint="eastAsia"/>
        </w:rPr>
        <w:t>1、资质证书有效期</w:t>
      </w:r>
      <w:bookmarkEnd w:id="24"/>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5"/>
        <w:spacing w:before="0" w:after="0"/>
        <w:rPr>
          <w:rFonts w:asciiTheme="minorEastAsia" w:hAnsiTheme="minorEastAsia"/>
        </w:rPr>
      </w:pPr>
      <w:bookmarkStart w:id="25" w:name="_Toc32299"/>
      <w:r>
        <w:rPr>
          <w:rFonts w:hint="eastAsia" w:asciiTheme="minorEastAsia" w:hAnsiTheme="minorEastAsia"/>
        </w:rPr>
        <w:t>2、政府采购优惠政策</w:t>
      </w:r>
      <w:bookmarkEnd w:id="25"/>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Pr>
          <w:rFonts w:hint="eastAsia" w:asciiTheme="minorEastAsia" w:hAnsiTheme="minorEastAsia" w:eastAsiaTheme="minorEastAsia"/>
          <w:b/>
        </w:rPr>
        <w:t>其投标报价扣除</w:t>
      </w:r>
      <w:r>
        <w:rPr>
          <w:rFonts w:hint="eastAsia" w:asciiTheme="minorEastAsia" w:hAnsiTheme="minorEastAsia" w:eastAsiaTheme="minorEastAsia"/>
          <w:b/>
          <w:u w:val="single"/>
        </w:rPr>
        <w:t xml:space="preserve"> 10 </w:t>
      </w:r>
      <w:r>
        <w:rPr>
          <w:rFonts w:hint="eastAsia" w:asciiTheme="minorEastAsia" w:hAnsiTheme="minorEastAsia" w:eastAsiaTheme="minorEastAsia"/>
          <w:b/>
        </w:rPr>
        <w:t>%（请在6%-10%范围内选择）后参与评审</w:t>
      </w:r>
      <w:r>
        <w:rPr>
          <w:rFonts w:hint="eastAsia" w:asciiTheme="minorEastAsia" w:hAnsiTheme="minorEastAsia" w:eastAsiaTheme="minorEastAsia"/>
        </w:rPr>
        <w:t>。对于同时属于小微企业、监狱企业或残疾人福利性单位的，不重复进行投标报价扣除。</w:t>
      </w:r>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（2）联合协议中约定，小型、微型企业的协议合同金额占到联合体协议合同总金额30%以上的，可给予</w:t>
      </w:r>
      <w:r>
        <w:rPr>
          <w:rFonts w:hint="eastAsia" w:asciiTheme="minorEastAsia" w:hAnsiTheme="minorEastAsia" w:eastAsiaTheme="minorEastAsia"/>
          <w:b/>
        </w:rPr>
        <w:t>联合体</w:t>
      </w:r>
      <w:r>
        <w:rPr>
          <w:rFonts w:hint="eastAsia" w:asciiTheme="minorEastAsia" w:hAnsiTheme="minorEastAsia" w:eastAsiaTheme="minorEastAsia"/>
          <w:b/>
          <w:u w:val="single"/>
        </w:rPr>
        <w:t xml:space="preserve"> / </w:t>
      </w:r>
      <w:r>
        <w:rPr>
          <w:rFonts w:hint="eastAsia" w:asciiTheme="minorEastAsia" w:hAnsiTheme="minorEastAsia" w:eastAsiaTheme="minorEastAsia"/>
          <w:b/>
        </w:rPr>
        <w:t>%</w:t>
      </w:r>
      <w:r>
        <w:rPr>
          <w:rFonts w:asciiTheme="minorEastAsia" w:hAnsiTheme="minorEastAsia" w:eastAsiaTheme="minorEastAsia"/>
          <w:b/>
        </w:rPr>
        <w:t xml:space="preserve"> </w:t>
      </w:r>
      <w:r>
        <w:rPr>
          <w:rFonts w:hint="eastAsia" w:asciiTheme="minorEastAsia" w:hAnsiTheme="minorEastAsia" w:eastAsiaTheme="minorEastAsia"/>
          <w:b/>
        </w:rPr>
        <w:t>（请在2</w:t>
      </w:r>
      <w:r>
        <w:rPr>
          <w:rFonts w:asciiTheme="minorEastAsia" w:hAnsiTheme="minorEastAsia" w:eastAsiaTheme="minorEastAsia"/>
          <w:b/>
        </w:rPr>
        <w:t>%-</w:t>
      </w:r>
      <w:r>
        <w:rPr>
          <w:rFonts w:hint="eastAsia" w:asciiTheme="minorEastAsia" w:hAnsiTheme="minorEastAsia" w:eastAsiaTheme="minorEastAsia"/>
          <w:b/>
        </w:rPr>
        <w:t>3</w:t>
      </w:r>
      <w:r>
        <w:rPr>
          <w:rFonts w:asciiTheme="minorEastAsia" w:hAnsiTheme="minorEastAsia" w:eastAsiaTheme="minorEastAsia"/>
          <w:b/>
        </w:rPr>
        <w:t>%</w:t>
      </w:r>
      <w:r>
        <w:rPr>
          <w:rFonts w:hint="eastAsia" w:asciiTheme="minorEastAsia" w:hAnsiTheme="minorEastAsia" w:eastAsiaTheme="minorEastAsia"/>
          <w:b/>
        </w:rPr>
        <w:t>范围内选择）</w:t>
      </w:r>
      <w:r>
        <w:rPr>
          <w:rFonts w:hint="eastAsia" w:asciiTheme="minorEastAsia" w:hAnsiTheme="minorEastAsia" w:eastAsiaTheme="minorEastAsia"/>
        </w:rPr>
        <w:t>的价格扣除。</w:t>
      </w:r>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联合体各方均为小型、微型企业、监狱企业和</w:t>
      </w:r>
      <w:r>
        <w:rPr>
          <w:rFonts w:hint="eastAsia" w:ascii="宋体" w:hAnsi="宋体"/>
        </w:rPr>
        <w:t>残疾人福利性单位</w:t>
      </w:r>
      <w:r>
        <w:rPr>
          <w:rFonts w:hint="eastAsia" w:asciiTheme="minorEastAsia" w:hAnsiTheme="minorEastAsia" w:eastAsiaTheme="minorEastAsia"/>
        </w:rPr>
        <w:t>的，联合体视同为小型、微型企业、监狱企业和</w:t>
      </w:r>
      <w:r>
        <w:rPr>
          <w:rFonts w:hint="eastAsia" w:ascii="宋体" w:hAnsi="宋体"/>
        </w:rPr>
        <w:t>残疾人福利性单位</w:t>
      </w:r>
      <w:r>
        <w:rPr>
          <w:rFonts w:hint="eastAsia" w:asciiTheme="minorEastAsia" w:hAnsiTheme="minorEastAsia" w:eastAsiaTheme="minorEastAsia"/>
        </w:rPr>
        <w:t>，均享受</w:t>
      </w:r>
      <w:r>
        <w:rPr>
          <w:rFonts w:hint="eastAsia" w:asciiTheme="minorEastAsia" w:hAnsiTheme="minorEastAsia" w:eastAsiaTheme="minorEastAsia"/>
          <w:b/>
          <w:bCs/>
        </w:rPr>
        <w:t>政府采购优惠政策</w:t>
      </w:r>
      <w:r>
        <w:rPr>
          <w:rFonts w:hint="eastAsia" w:asciiTheme="minorEastAsia" w:hAnsiTheme="minorEastAsia" w:eastAsiaTheme="minorEastAsia"/>
          <w:b/>
        </w:rPr>
        <w:t>第一款</w:t>
      </w:r>
      <w:r>
        <w:rPr>
          <w:rFonts w:hint="eastAsia" w:asciiTheme="minorEastAsia" w:hAnsiTheme="minorEastAsia" w:eastAsiaTheme="minorEastAsia"/>
        </w:rPr>
        <w:t>的优惠政策。</w:t>
      </w:r>
    </w:p>
    <w:p>
      <w:pPr>
        <w:spacing w:line="360" w:lineRule="auto"/>
        <w:ind w:firstLine="424" w:firstLineChars="202"/>
        <w:rPr>
          <w:rFonts w:ascii="宋体" w:hAnsi="宋体"/>
          <w:snapToGrid w:val="0"/>
          <w:szCs w:val="21"/>
        </w:rPr>
      </w:pPr>
      <w:r>
        <w:rPr>
          <w:rFonts w:hint="eastAsia" w:ascii="宋体" w:hAnsi="宋体"/>
          <w:snapToGrid w:val="0"/>
          <w:szCs w:val="21"/>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pPr>
        <w:spacing w:line="360" w:lineRule="auto"/>
        <w:ind w:firstLine="424" w:firstLineChars="202"/>
        <w:rPr>
          <w:rFonts w:ascii="宋体" w:hAnsi="宋体"/>
          <w:snapToGrid w:val="0"/>
          <w:szCs w:val="21"/>
        </w:rPr>
      </w:pPr>
      <w:r>
        <w:rPr>
          <w:rFonts w:hint="eastAsia" w:ascii="宋体" w:hAnsi="宋体"/>
          <w:snapToGrid w:val="0"/>
          <w:szCs w:val="21"/>
        </w:rPr>
        <w:t>（4）为缓解中小企业融资难题，我市推出政府采购订单融资改革举措。订单融资具体流程及试点金融机构订单融资服务承诺可参阅深圳市政府采购监管网（www.zfcg.sz.gov.cn）信息公开栏目或深圳公共资源交易中心网站（www.szzfcg.cn）政府采购订单融资栏目。</w:t>
      </w:r>
    </w:p>
    <w:p/>
    <w:p/>
    <w:p>
      <w:pPr>
        <w:widowControl/>
        <w:jc w:val="left"/>
      </w:pPr>
      <w:r>
        <w:br w:type="page"/>
      </w:r>
    </w:p>
    <w:p/>
    <w:p/>
    <w:p>
      <w:pPr>
        <w:pStyle w:val="3"/>
        <w:spacing w:before="0"/>
      </w:pPr>
      <w:bookmarkStart w:id="26" w:name="_Toc13626"/>
      <w:r>
        <w:rPr>
          <w:rFonts w:hint="eastAsia"/>
        </w:rPr>
        <w:t>第五章  投标人须知前附表</w:t>
      </w:r>
      <w:bookmarkEnd w:id="26"/>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项号</w:t>
            </w:r>
          </w:p>
        </w:tc>
        <w:tc>
          <w:tcPr>
            <w:tcW w:w="1038" w:type="dxa"/>
            <w:vAlign w:val="center"/>
          </w:tcPr>
          <w:p>
            <w:pPr>
              <w:pStyle w:val="26"/>
              <w:spacing w:line="360" w:lineRule="auto"/>
              <w:jc w:val="center"/>
              <w:rPr>
                <w:rFonts w:hAnsi="宋体"/>
              </w:rPr>
            </w:pPr>
            <w:r>
              <w:rPr>
                <w:rFonts w:hint="eastAsia" w:hAnsi="宋体"/>
              </w:rPr>
              <w:t>条款号</w:t>
            </w:r>
          </w:p>
        </w:tc>
        <w:tc>
          <w:tcPr>
            <w:tcW w:w="1843" w:type="dxa"/>
            <w:vAlign w:val="center"/>
          </w:tcPr>
          <w:p>
            <w:pPr>
              <w:pStyle w:val="26"/>
              <w:spacing w:line="360" w:lineRule="auto"/>
              <w:jc w:val="center"/>
              <w:rPr>
                <w:rFonts w:hAnsi="宋体"/>
              </w:rPr>
            </w:pPr>
            <w:r>
              <w:rPr>
                <w:rFonts w:hint="eastAsia" w:hAnsi="宋体"/>
              </w:rPr>
              <w:t>内容</w:t>
            </w:r>
          </w:p>
        </w:tc>
        <w:tc>
          <w:tcPr>
            <w:tcW w:w="6520" w:type="dxa"/>
          </w:tcPr>
          <w:p>
            <w:pPr>
              <w:pStyle w:val="26"/>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Ansi="宋体"/>
              </w:rPr>
              <w:t>1</w:t>
            </w:r>
          </w:p>
        </w:tc>
        <w:tc>
          <w:tcPr>
            <w:tcW w:w="1038" w:type="dxa"/>
            <w:vAlign w:val="center"/>
          </w:tcPr>
          <w:p>
            <w:pPr>
              <w:pStyle w:val="26"/>
              <w:spacing w:line="360" w:lineRule="auto"/>
              <w:jc w:val="center"/>
              <w:rPr>
                <w:rFonts w:hAnsi="宋体"/>
              </w:rPr>
            </w:pPr>
            <w:r>
              <w:rPr>
                <w:rFonts w:hAnsi="宋体"/>
              </w:rPr>
              <w:t>1.1</w:t>
            </w:r>
          </w:p>
        </w:tc>
        <w:tc>
          <w:tcPr>
            <w:tcW w:w="1843" w:type="dxa"/>
            <w:vAlign w:val="center"/>
          </w:tcPr>
          <w:p>
            <w:pPr>
              <w:pStyle w:val="26"/>
              <w:spacing w:line="360" w:lineRule="exact"/>
              <w:jc w:val="center"/>
              <w:rPr>
                <w:rFonts w:hAnsi="宋体"/>
              </w:rPr>
            </w:pPr>
            <w:r>
              <w:rPr>
                <w:rFonts w:hint="eastAsia" w:hAnsi="宋体"/>
              </w:rPr>
              <w:t>项目名称</w:t>
            </w:r>
          </w:p>
        </w:tc>
        <w:tc>
          <w:tcPr>
            <w:tcW w:w="6520" w:type="dxa"/>
            <w:vAlign w:val="center"/>
          </w:tcPr>
          <w:p>
            <w:pPr>
              <w:pStyle w:val="26"/>
              <w:spacing w:line="360" w:lineRule="exact"/>
            </w:pPr>
            <w:r>
              <w:rPr>
                <w:rFonts w:hint="eastAsia"/>
              </w:rPr>
              <w:t>龙岗区耳鼻咽喉医院信息系统软件建设维护服务项目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2</w:t>
            </w:r>
          </w:p>
        </w:tc>
        <w:tc>
          <w:tcPr>
            <w:tcW w:w="1038" w:type="dxa"/>
            <w:vAlign w:val="center"/>
          </w:tcPr>
          <w:p>
            <w:pPr>
              <w:pStyle w:val="26"/>
              <w:spacing w:line="360" w:lineRule="auto"/>
              <w:jc w:val="center"/>
              <w:rPr>
                <w:rFonts w:hAnsi="宋体"/>
              </w:rPr>
            </w:pPr>
            <w:r>
              <w:rPr>
                <w:rFonts w:hAnsi="宋体"/>
              </w:rPr>
              <w:t>2.1</w:t>
            </w:r>
          </w:p>
        </w:tc>
        <w:tc>
          <w:tcPr>
            <w:tcW w:w="1843" w:type="dxa"/>
            <w:vAlign w:val="center"/>
          </w:tcPr>
          <w:p>
            <w:pPr>
              <w:pStyle w:val="26"/>
              <w:spacing w:line="360" w:lineRule="exact"/>
              <w:jc w:val="center"/>
              <w:rPr>
                <w:rFonts w:hAnsi="宋体"/>
              </w:rPr>
            </w:pPr>
            <w:r>
              <w:rPr>
                <w:rFonts w:hint="eastAsia" w:hAnsi="宋体"/>
              </w:rPr>
              <w:t>采购人</w:t>
            </w:r>
          </w:p>
        </w:tc>
        <w:tc>
          <w:tcPr>
            <w:tcW w:w="6520" w:type="dxa"/>
            <w:vAlign w:val="center"/>
          </w:tcPr>
          <w:p>
            <w:pPr>
              <w:pStyle w:val="26"/>
              <w:spacing w:line="360" w:lineRule="exact"/>
              <w:rPr>
                <w:rFonts w:hAnsi="宋体"/>
                <w:szCs w:val="24"/>
              </w:rPr>
            </w:pPr>
            <w:r>
              <w:rPr>
                <w:rFonts w:hint="eastAsia"/>
              </w:rPr>
              <w:t>深圳市龙岗区耳鼻咽喉医院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3</w:t>
            </w:r>
          </w:p>
        </w:tc>
        <w:tc>
          <w:tcPr>
            <w:tcW w:w="1038" w:type="dxa"/>
            <w:vAlign w:val="center"/>
          </w:tcPr>
          <w:p>
            <w:pPr>
              <w:pStyle w:val="26"/>
              <w:spacing w:line="360" w:lineRule="auto"/>
              <w:jc w:val="center"/>
              <w:rPr>
                <w:rFonts w:hAnsi="宋体"/>
              </w:rPr>
            </w:pPr>
            <w:r>
              <w:rPr>
                <w:rFonts w:hAnsi="宋体"/>
              </w:rPr>
              <w:t>2.2</w:t>
            </w:r>
          </w:p>
        </w:tc>
        <w:tc>
          <w:tcPr>
            <w:tcW w:w="1843" w:type="dxa"/>
            <w:vAlign w:val="center"/>
          </w:tcPr>
          <w:p>
            <w:pPr>
              <w:pStyle w:val="26"/>
              <w:spacing w:line="360" w:lineRule="exact"/>
              <w:jc w:val="center"/>
              <w:rPr>
                <w:rFonts w:hAnsi="宋体"/>
              </w:rPr>
            </w:pPr>
            <w:r>
              <w:rPr>
                <w:rFonts w:hint="eastAsia" w:hAnsi="宋体"/>
              </w:rPr>
              <w:t>招标代理机构</w:t>
            </w:r>
          </w:p>
        </w:tc>
        <w:tc>
          <w:tcPr>
            <w:tcW w:w="6520" w:type="dxa"/>
            <w:vAlign w:val="center"/>
          </w:tcPr>
          <w:p>
            <w:pPr>
              <w:pStyle w:val="26"/>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6"/>
              <w:spacing w:line="360" w:lineRule="auto"/>
              <w:jc w:val="center"/>
              <w:rPr>
                <w:rFonts w:hAnsi="宋体"/>
              </w:rPr>
            </w:pPr>
            <w:r>
              <w:rPr>
                <w:rFonts w:hint="eastAsia" w:hAnsi="宋体"/>
              </w:rPr>
              <w:t>4</w:t>
            </w:r>
          </w:p>
        </w:tc>
        <w:tc>
          <w:tcPr>
            <w:tcW w:w="1038" w:type="dxa"/>
            <w:vAlign w:val="center"/>
          </w:tcPr>
          <w:p>
            <w:pPr>
              <w:pStyle w:val="26"/>
              <w:spacing w:line="360" w:lineRule="auto"/>
              <w:jc w:val="center"/>
              <w:rPr>
                <w:rFonts w:hAnsi="宋体"/>
              </w:rPr>
            </w:pPr>
            <w:r>
              <w:rPr>
                <w:rFonts w:hint="eastAsia" w:hAnsi="宋体"/>
              </w:rPr>
              <w:t>3.1</w:t>
            </w:r>
          </w:p>
        </w:tc>
        <w:tc>
          <w:tcPr>
            <w:tcW w:w="1843" w:type="dxa"/>
            <w:vAlign w:val="center"/>
          </w:tcPr>
          <w:p>
            <w:pPr>
              <w:pStyle w:val="26"/>
              <w:spacing w:line="360" w:lineRule="exact"/>
              <w:jc w:val="center"/>
              <w:rPr>
                <w:rFonts w:hAnsi="宋体"/>
              </w:rPr>
            </w:pPr>
            <w:r>
              <w:rPr>
                <w:rFonts w:hint="eastAsia" w:hAnsi="宋体"/>
              </w:rPr>
              <w:t>资金来源</w:t>
            </w:r>
          </w:p>
        </w:tc>
        <w:tc>
          <w:tcPr>
            <w:tcW w:w="6520" w:type="dxa"/>
            <w:vAlign w:val="center"/>
          </w:tcPr>
          <w:p>
            <w:pPr>
              <w:pStyle w:val="26"/>
              <w:spacing w:line="360" w:lineRule="exact"/>
              <w:rPr>
                <w:rFonts w:hAnsi="宋体"/>
              </w:rPr>
            </w:pPr>
            <w:r>
              <w:rPr>
                <w:rFonts w:hint="eastAsia" w:hAnsi="宋体" w:eastAsia="MS Mincho" w:cs="MS Mincho"/>
                <w:sz w:val="24"/>
                <w:szCs w:val="24"/>
              </w:rPr>
              <w:t>☑</w:t>
            </w:r>
            <w:r>
              <w:rPr>
                <w:rFonts w:hint="eastAsia" w:hAnsi="宋体"/>
              </w:rPr>
              <w:t>预算内资金/□预算外资金/□自筹资金/□其它资金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6"/>
              <w:spacing w:line="360" w:lineRule="auto"/>
              <w:jc w:val="center"/>
              <w:rPr>
                <w:rFonts w:hAnsi="宋体"/>
              </w:rPr>
            </w:pPr>
            <w:r>
              <w:rPr>
                <w:rFonts w:hint="eastAsia" w:hAnsi="宋体"/>
              </w:rPr>
              <w:t>5</w:t>
            </w:r>
          </w:p>
        </w:tc>
        <w:tc>
          <w:tcPr>
            <w:tcW w:w="1038" w:type="dxa"/>
            <w:vAlign w:val="center"/>
          </w:tcPr>
          <w:p>
            <w:pPr>
              <w:pStyle w:val="26"/>
              <w:spacing w:line="360" w:lineRule="auto"/>
              <w:jc w:val="center"/>
              <w:rPr>
                <w:rFonts w:hAnsi="宋体"/>
              </w:rPr>
            </w:pPr>
            <w:r>
              <w:rPr>
                <w:rFonts w:hint="eastAsia" w:hAnsi="宋体"/>
              </w:rPr>
              <w:t>4.7</w:t>
            </w:r>
          </w:p>
        </w:tc>
        <w:tc>
          <w:tcPr>
            <w:tcW w:w="1843" w:type="dxa"/>
            <w:vAlign w:val="center"/>
          </w:tcPr>
          <w:p>
            <w:pPr>
              <w:pStyle w:val="26"/>
              <w:spacing w:line="360" w:lineRule="auto"/>
              <w:jc w:val="center"/>
              <w:rPr>
                <w:rFonts w:hAnsi="宋体"/>
              </w:rPr>
            </w:pPr>
            <w:r>
              <w:rPr>
                <w:rFonts w:hint="eastAsia" w:hAnsi="宋体"/>
              </w:rPr>
              <w:t>投标人资格要求</w:t>
            </w:r>
          </w:p>
        </w:tc>
        <w:tc>
          <w:tcPr>
            <w:tcW w:w="6520" w:type="dxa"/>
            <w:vAlign w:val="center"/>
          </w:tcPr>
          <w:p>
            <w:pPr>
              <w:pStyle w:val="26"/>
              <w:spacing w:line="300" w:lineRule="auto"/>
              <w:rPr>
                <w:rFonts w:hAnsi="宋体"/>
                <w:szCs w:val="21"/>
              </w:rPr>
            </w:pPr>
            <w:r>
              <w:rPr>
                <w:rFonts w:hint="eastAsia" w:hAnsi="宋体"/>
                <w:szCs w:val="21"/>
              </w:rPr>
              <w:t>详见《第一章 投标邀请》“申请人的资格要求”</w:t>
            </w:r>
            <w:r>
              <w:rPr>
                <w:rFonts w:hAnsi="宋体"/>
                <w:szCs w:val="21"/>
              </w:rPr>
              <w:t xml:space="preserve"> </w:t>
            </w:r>
          </w:p>
          <w:p>
            <w:pPr>
              <w:pStyle w:val="26"/>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6</w:t>
            </w:r>
          </w:p>
        </w:tc>
        <w:tc>
          <w:tcPr>
            <w:tcW w:w="1038" w:type="dxa"/>
            <w:vAlign w:val="center"/>
          </w:tcPr>
          <w:p>
            <w:pPr>
              <w:pStyle w:val="26"/>
              <w:spacing w:line="360" w:lineRule="auto"/>
              <w:jc w:val="center"/>
              <w:rPr>
                <w:rFonts w:hAnsi="宋体"/>
              </w:rPr>
            </w:pPr>
            <w:r>
              <w:rPr>
                <w:rFonts w:hint="eastAsia" w:hAnsi="宋体"/>
              </w:rPr>
              <w:t>4.8</w:t>
            </w:r>
          </w:p>
        </w:tc>
        <w:tc>
          <w:tcPr>
            <w:tcW w:w="1843" w:type="dxa"/>
            <w:vAlign w:val="center"/>
          </w:tcPr>
          <w:p>
            <w:pPr>
              <w:pStyle w:val="26"/>
              <w:spacing w:line="360" w:lineRule="auto"/>
              <w:jc w:val="center"/>
              <w:rPr>
                <w:rFonts w:hAnsi="宋体"/>
              </w:rPr>
            </w:pPr>
            <w:r>
              <w:rPr>
                <w:rFonts w:hint="eastAsia" w:hAnsi="宋体"/>
              </w:rPr>
              <w:t>联合体投标</w:t>
            </w:r>
          </w:p>
        </w:tc>
        <w:tc>
          <w:tcPr>
            <w:tcW w:w="6520" w:type="dxa"/>
          </w:tcPr>
          <w:p>
            <w:pPr>
              <w:pStyle w:val="26"/>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7</w:t>
            </w:r>
          </w:p>
        </w:tc>
        <w:tc>
          <w:tcPr>
            <w:tcW w:w="1038" w:type="dxa"/>
            <w:vAlign w:val="center"/>
          </w:tcPr>
          <w:p>
            <w:pPr>
              <w:pStyle w:val="26"/>
              <w:spacing w:line="360" w:lineRule="auto"/>
              <w:jc w:val="center"/>
              <w:rPr>
                <w:rFonts w:hAnsi="宋体"/>
              </w:rPr>
            </w:pPr>
            <w:r>
              <w:rPr>
                <w:rFonts w:hint="eastAsia" w:hAnsi="宋体"/>
              </w:rPr>
              <w:t>6.1</w:t>
            </w:r>
          </w:p>
        </w:tc>
        <w:tc>
          <w:tcPr>
            <w:tcW w:w="1843" w:type="dxa"/>
            <w:vAlign w:val="center"/>
          </w:tcPr>
          <w:p>
            <w:pPr>
              <w:pStyle w:val="26"/>
              <w:spacing w:line="360" w:lineRule="auto"/>
              <w:jc w:val="center"/>
              <w:rPr>
                <w:rFonts w:hAnsi="宋体"/>
              </w:rPr>
            </w:pPr>
            <w:r>
              <w:rPr>
                <w:rFonts w:hint="eastAsia" w:hAnsi="宋体"/>
              </w:rPr>
              <w:t>踏勘现场</w:t>
            </w:r>
          </w:p>
        </w:tc>
        <w:tc>
          <w:tcPr>
            <w:tcW w:w="6520" w:type="dxa"/>
          </w:tcPr>
          <w:p>
            <w:pPr>
              <w:pStyle w:val="26"/>
              <w:spacing w:line="360" w:lineRule="auto"/>
              <w:rPr>
                <w:rFonts w:hAnsi="宋体"/>
              </w:rPr>
            </w:pPr>
            <w:r>
              <w:rPr>
                <w:rFonts w:hint="eastAsia" w:hAnsi="宋体"/>
              </w:rPr>
              <w:t>不统一组织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8</w:t>
            </w:r>
          </w:p>
        </w:tc>
        <w:tc>
          <w:tcPr>
            <w:tcW w:w="1038" w:type="dxa"/>
            <w:vAlign w:val="center"/>
          </w:tcPr>
          <w:p>
            <w:pPr>
              <w:pStyle w:val="26"/>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6"/>
              <w:spacing w:line="360" w:lineRule="auto"/>
              <w:jc w:val="center"/>
              <w:rPr>
                <w:rFonts w:hAnsi="宋体"/>
              </w:rPr>
            </w:pPr>
            <w:r>
              <w:rPr>
                <w:rFonts w:hint="eastAsia" w:hAnsi="宋体"/>
              </w:rPr>
              <w:t>投标有效期</w:t>
            </w:r>
          </w:p>
        </w:tc>
        <w:tc>
          <w:tcPr>
            <w:tcW w:w="6520" w:type="dxa"/>
          </w:tcPr>
          <w:p>
            <w:pPr>
              <w:pStyle w:val="26"/>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9</w:t>
            </w:r>
          </w:p>
        </w:tc>
        <w:tc>
          <w:tcPr>
            <w:tcW w:w="1038" w:type="dxa"/>
            <w:vAlign w:val="center"/>
          </w:tcPr>
          <w:p>
            <w:pPr>
              <w:pStyle w:val="26"/>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不要求向招标代理机构提交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6"/>
              <w:spacing w:line="360" w:lineRule="auto"/>
              <w:jc w:val="center"/>
              <w:rPr>
                <w:rFonts w:hAnsi="宋体"/>
              </w:rPr>
            </w:pPr>
            <w:r>
              <w:rPr>
                <w:rFonts w:hint="eastAsia" w:hAnsi="宋体"/>
              </w:rPr>
              <w:t>10</w:t>
            </w:r>
          </w:p>
        </w:tc>
        <w:tc>
          <w:tcPr>
            <w:tcW w:w="1038" w:type="dxa"/>
            <w:vAlign w:val="center"/>
          </w:tcPr>
          <w:p>
            <w:pPr>
              <w:pStyle w:val="26"/>
              <w:spacing w:line="360" w:lineRule="auto"/>
              <w:jc w:val="center"/>
              <w:rPr>
                <w:rFonts w:hAnsi="宋体"/>
              </w:rPr>
            </w:pPr>
            <w:r>
              <w:rPr>
                <w:rFonts w:hint="eastAsia" w:hAnsi="宋体"/>
              </w:rPr>
              <w:t>16.1</w:t>
            </w:r>
          </w:p>
        </w:tc>
        <w:tc>
          <w:tcPr>
            <w:tcW w:w="1843" w:type="dxa"/>
            <w:vAlign w:val="center"/>
          </w:tcPr>
          <w:p>
            <w:pPr>
              <w:pStyle w:val="26"/>
              <w:spacing w:line="360" w:lineRule="auto"/>
              <w:jc w:val="center"/>
              <w:rPr>
                <w:rFonts w:hAnsi="宋体"/>
              </w:rPr>
            </w:pPr>
            <w:r>
              <w:rPr>
                <w:rFonts w:hint="eastAsia" w:hAnsi="宋体"/>
              </w:rPr>
              <w:t>投标预备会</w:t>
            </w:r>
          </w:p>
          <w:p>
            <w:pPr>
              <w:pStyle w:val="26"/>
              <w:spacing w:line="360" w:lineRule="auto"/>
              <w:jc w:val="center"/>
              <w:rPr>
                <w:rFonts w:hAnsi="宋体"/>
              </w:rPr>
            </w:pPr>
            <w:r>
              <w:rPr>
                <w:rFonts w:hint="eastAsia" w:hAnsi="宋体"/>
              </w:rPr>
              <w:t>（答疑会）</w:t>
            </w:r>
          </w:p>
        </w:tc>
        <w:tc>
          <w:tcPr>
            <w:tcW w:w="6520" w:type="dxa"/>
            <w:vAlign w:val="center"/>
          </w:tcPr>
          <w:p>
            <w:pPr>
              <w:pStyle w:val="26"/>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11</w:t>
            </w:r>
          </w:p>
        </w:tc>
        <w:tc>
          <w:tcPr>
            <w:tcW w:w="1038" w:type="dxa"/>
            <w:vAlign w:val="center"/>
          </w:tcPr>
          <w:p>
            <w:pPr>
              <w:pStyle w:val="26"/>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6"/>
              <w:spacing w:line="360" w:lineRule="auto"/>
              <w:jc w:val="center"/>
              <w:rPr>
                <w:rFonts w:hAnsi="宋体"/>
              </w:rPr>
            </w:pPr>
            <w:r>
              <w:rPr>
                <w:rFonts w:hint="eastAsia" w:hAnsi="宋体"/>
              </w:rPr>
              <w:t>投标文件份数</w:t>
            </w:r>
          </w:p>
        </w:tc>
        <w:tc>
          <w:tcPr>
            <w:tcW w:w="6520" w:type="dxa"/>
          </w:tcPr>
          <w:p>
            <w:pPr>
              <w:pStyle w:val="26"/>
              <w:spacing w:line="360" w:lineRule="auto"/>
              <w:rPr>
                <w:rFonts w:hAnsi="宋体"/>
              </w:rPr>
            </w:pPr>
            <w:r>
              <w:rPr>
                <w:rFonts w:asciiTheme="minorEastAsia" w:hAnsiTheme="minorEastAsia" w:eastAsiaTheme="minorEastAsia"/>
              </w:rPr>
              <w:t>正本1份，副本 4 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12</w:t>
            </w:r>
          </w:p>
        </w:tc>
        <w:tc>
          <w:tcPr>
            <w:tcW w:w="1038" w:type="dxa"/>
            <w:vAlign w:val="center"/>
          </w:tcPr>
          <w:p>
            <w:pPr>
              <w:pStyle w:val="26"/>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6"/>
              <w:spacing w:line="360" w:lineRule="auto"/>
              <w:jc w:val="center"/>
              <w:rPr>
                <w:rFonts w:hAnsi="宋体"/>
              </w:rPr>
            </w:pPr>
            <w:r>
              <w:rPr>
                <w:rFonts w:hint="eastAsia" w:hAnsi="宋体"/>
              </w:rPr>
              <w:t>开标</w:t>
            </w:r>
          </w:p>
        </w:tc>
        <w:tc>
          <w:tcPr>
            <w:tcW w:w="6520" w:type="dxa"/>
          </w:tcPr>
          <w:p>
            <w:pPr>
              <w:pStyle w:val="26"/>
              <w:spacing w:line="360" w:lineRule="auto"/>
              <w:rPr>
                <w:rFonts w:hAnsi="宋体"/>
                <w:b/>
              </w:rPr>
            </w:pPr>
            <w:r>
              <w:rPr>
                <w:rFonts w:hAnsi="宋体"/>
                <w:b/>
              </w:rPr>
              <w:t>时间：</w:t>
            </w:r>
            <w:r>
              <w:rPr>
                <w:rFonts w:hint="eastAsia" w:hAnsi="宋体"/>
                <w:b/>
              </w:rPr>
              <w:t>202</w:t>
            </w:r>
            <w:r>
              <w:rPr>
                <w:rFonts w:hAnsi="宋体"/>
                <w:b/>
              </w:rPr>
              <w:t>2</w:t>
            </w:r>
            <w:r>
              <w:rPr>
                <w:rFonts w:hint="eastAsia" w:hAnsi="宋体"/>
                <w:b/>
              </w:rPr>
              <w:t>年0</w:t>
            </w:r>
            <w:r>
              <w:rPr>
                <w:rFonts w:hAnsi="宋体"/>
                <w:b/>
              </w:rPr>
              <w:t>1</w:t>
            </w:r>
            <w:r>
              <w:rPr>
                <w:rFonts w:hint="eastAsia" w:hAnsi="宋体"/>
                <w:b/>
              </w:rPr>
              <w:t>月</w:t>
            </w:r>
            <w:r>
              <w:rPr>
                <w:rFonts w:hint="eastAsia" w:hAnsi="宋体"/>
                <w:b/>
                <w:lang w:val="en-US" w:eastAsia="zh-CN"/>
              </w:rPr>
              <w:t>11</w:t>
            </w:r>
            <w:r>
              <w:rPr>
                <w:rFonts w:hint="eastAsia" w:hAnsi="宋体"/>
                <w:b/>
              </w:rPr>
              <w:t>日</w:t>
            </w:r>
            <w:r>
              <w:rPr>
                <w:rFonts w:hint="eastAsia" w:hAnsi="宋体"/>
                <w:b/>
                <w:lang w:val="en-US" w:eastAsia="zh-CN"/>
              </w:rPr>
              <w:t>14</w:t>
            </w:r>
            <w:r>
              <w:rPr>
                <w:rFonts w:hint="eastAsia" w:hAnsi="宋体"/>
                <w:b/>
              </w:rPr>
              <w:t>点</w:t>
            </w:r>
            <w:r>
              <w:rPr>
                <w:rFonts w:hint="eastAsia" w:hAnsi="宋体"/>
                <w:b/>
                <w:lang w:val="en-US" w:eastAsia="zh-CN"/>
              </w:rPr>
              <w:t>30</w:t>
            </w:r>
            <w:r>
              <w:rPr>
                <w:rFonts w:hint="eastAsia" w:hAnsi="宋体"/>
                <w:b/>
              </w:rPr>
              <w:t>分（北京时间）</w:t>
            </w:r>
          </w:p>
          <w:p>
            <w:pPr>
              <w:pStyle w:val="26"/>
              <w:spacing w:line="360" w:lineRule="auto"/>
              <w:rPr>
                <w:rFonts w:hAnsi="宋体"/>
              </w:rPr>
            </w:pPr>
            <w:r>
              <w:rPr>
                <w:rFonts w:hAnsi="宋体"/>
                <w:b/>
                <w:bCs/>
              </w:rPr>
              <w:t>地点：</w:t>
            </w:r>
            <w:r>
              <w:rPr>
                <w:rFonts w:hint="eastAsia" w:hAnsi="宋体"/>
                <w:b/>
                <w:bCs/>
                <w:snapToGrid w:val="0"/>
              </w:rPr>
              <w:t>深圳市龙岗区龙西社区添利鑫创业园添利鑫大厦801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13</w:t>
            </w:r>
          </w:p>
        </w:tc>
        <w:tc>
          <w:tcPr>
            <w:tcW w:w="1038" w:type="dxa"/>
            <w:vAlign w:val="center"/>
          </w:tcPr>
          <w:p>
            <w:pPr>
              <w:pStyle w:val="26"/>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投标截止时间</w:t>
            </w:r>
          </w:p>
        </w:tc>
        <w:tc>
          <w:tcPr>
            <w:tcW w:w="6520" w:type="dxa"/>
          </w:tcPr>
          <w:p>
            <w:pPr>
              <w:pStyle w:val="26"/>
              <w:spacing w:line="360" w:lineRule="auto"/>
              <w:rPr>
                <w:rFonts w:hAnsi="宋体"/>
                <w:b/>
              </w:rPr>
            </w:pPr>
            <w:r>
              <w:rPr>
                <w:rFonts w:hint="eastAsia" w:hAnsi="宋体"/>
                <w:b/>
                <w:highlight w:val="none"/>
              </w:rPr>
              <w:t>202</w:t>
            </w:r>
            <w:r>
              <w:rPr>
                <w:rFonts w:hAnsi="宋体"/>
                <w:b/>
                <w:highlight w:val="none"/>
              </w:rPr>
              <w:t>2</w:t>
            </w:r>
            <w:r>
              <w:rPr>
                <w:rFonts w:hint="eastAsia" w:hAnsi="宋体"/>
                <w:b/>
                <w:highlight w:val="none"/>
              </w:rPr>
              <w:t>年0</w:t>
            </w:r>
            <w:r>
              <w:rPr>
                <w:rFonts w:hAnsi="宋体"/>
                <w:b/>
                <w:highlight w:val="none"/>
              </w:rPr>
              <w:t>1</w:t>
            </w:r>
            <w:r>
              <w:rPr>
                <w:rFonts w:hint="eastAsia" w:hAnsi="宋体"/>
                <w:b/>
                <w:highlight w:val="none"/>
              </w:rPr>
              <w:t>月</w:t>
            </w:r>
            <w:r>
              <w:rPr>
                <w:rFonts w:hint="eastAsia" w:hAnsi="宋体"/>
                <w:b/>
                <w:highlight w:val="none"/>
                <w:lang w:val="en-US" w:eastAsia="zh-CN"/>
              </w:rPr>
              <w:t>11</w:t>
            </w:r>
            <w:r>
              <w:rPr>
                <w:rFonts w:hint="eastAsia" w:hAnsi="宋体"/>
                <w:b/>
                <w:highlight w:val="none"/>
              </w:rPr>
              <w:t>日</w:t>
            </w:r>
            <w:r>
              <w:rPr>
                <w:rFonts w:hint="eastAsia" w:hAnsi="宋体"/>
                <w:b/>
                <w:highlight w:val="none"/>
                <w:lang w:val="en-US" w:eastAsia="zh-CN"/>
              </w:rPr>
              <w:t>14</w:t>
            </w:r>
            <w:r>
              <w:rPr>
                <w:rFonts w:hint="eastAsia" w:hAnsi="宋体"/>
                <w:b/>
                <w:highlight w:val="none"/>
              </w:rPr>
              <w:t>点</w:t>
            </w:r>
            <w:r>
              <w:rPr>
                <w:rFonts w:hint="eastAsia" w:hAnsi="宋体"/>
                <w:b/>
                <w:highlight w:val="none"/>
                <w:lang w:val="en-US" w:eastAsia="zh-CN"/>
              </w:rPr>
              <w:t>30</w:t>
            </w:r>
            <w:r>
              <w:rPr>
                <w:rFonts w:hint="eastAsia" w:hAnsi="宋体"/>
                <w:b/>
                <w:highlight w:val="none"/>
              </w:rPr>
              <w:t>分（北京时间）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14</w:t>
            </w:r>
          </w:p>
        </w:tc>
        <w:tc>
          <w:tcPr>
            <w:tcW w:w="1038" w:type="dxa"/>
            <w:vAlign w:val="center"/>
          </w:tcPr>
          <w:p>
            <w:pPr>
              <w:pStyle w:val="26"/>
              <w:spacing w:line="360" w:lineRule="auto"/>
              <w:jc w:val="center"/>
              <w:rPr>
                <w:rFonts w:hAnsi="宋体"/>
              </w:rPr>
            </w:pPr>
            <w:r>
              <w:rPr>
                <w:rFonts w:hint="eastAsia" w:hAnsi="宋体"/>
              </w:rPr>
              <w:t>26</w:t>
            </w:r>
            <w:r>
              <w:rPr>
                <w:rFonts w:hAnsi="宋体"/>
              </w:rPr>
              <w:t>.</w:t>
            </w:r>
            <w:r>
              <w:rPr>
                <w:rFonts w:hint="eastAsia" w:hAnsi="宋体"/>
              </w:rPr>
              <w:t>4</w:t>
            </w:r>
          </w:p>
        </w:tc>
        <w:tc>
          <w:tcPr>
            <w:tcW w:w="1843" w:type="dxa"/>
            <w:vAlign w:val="center"/>
          </w:tcPr>
          <w:p>
            <w:pPr>
              <w:pStyle w:val="26"/>
              <w:spacing w:line="360" w:lineRule="auto"/>
              <w:jc w:val="center"/>
              <w:rPr>
                <w:rFonts w:hAnsi="宋体"/>
              </w:rPr>
            </w:pPr>
            <w:r>
              <w:rPr>
                <w:rFonts w:hint="eastAsia" w:hAnsi="宋体"/>
              </w:rPr>
              <w:t>评标办法</w:t>
            </w:r>
          </w:p>
        </w:tc>
        <w:tc>
          <w:tcPr>
            <w:tcW w:w="6520" w:type="dxa"/>
          </w:tcPr>
          <w:p>
            <w:pPr>
              <w:pStyle w:val="26"/>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15</w:t>
            </w:r>
          </w:p>
        </w:tc>
        <w:tc>
          <w:tcPr>
            <w:tcW w:w="1038" w:type="dxa"/>
            <w:vAlign w:val="center"/>
          </w:tcPr>
          <w:p>
            <w:pPr>
              <w:pStyle w:val="26"/>
              <w:spacing w:line="360" w:lineRule="auto"/>
              <w:jc w:val="center"/>
              <w:rPr>
                <w:rFonts w:hAnsi="宋体"/>
              </w:rPr>
            </w:pPr>
            <w:r>
              <w:rPr>
                <w:rFonts w:hint="eastAsia" w:hAnsi="宋体"/>
              </w:rPr>
              <w:t>32</w:t>
            </w:r>
            <w:r>
              <w:rPr>
                <w:rFonts w:hAnsi="宋体"/>
              </w:rPr>
              <w:t>.1</w:t>
            </w:r>
          </w:p>
        </w:tc>
        <w:tc>
          <w:tcPr>
            <w:tcW w:w="1843" w:type="dxa"/>
            <w:vAlign w:val="center"/>
          </w:tcPr>
          <w:p>
            <w:pPr>
              <w:pStyle w:val="26"/>
              <w:spacing w:line="360" w:lineRule="auto"/>
              <w:jc w:val="center"/>
              <w:rPr>
                <w:snapToGrid w:val="0"/>
                <w:kern w:val="0"/>
              </w:rPr>
            </w:pPr>
            <w:r>
              <w:rPr>
                <w:rFonts w:hint="eastAsia"/>
                <w:snapToGrid w:val="0"/>
                <w:kern w:val="0"/>
              </w:rPr>
              <w:t>履约保证金</w:t>
            </w:r>
          </w:p>
        </w:tc>
        <w:tc>
          <w:tcPr>
            <w:tcW w:w="6520" w:type="dxa"/>
          </w:tcPr>
          <w:p>
            <w:pPr>
              <w:pStyle w:val="26"/>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16</w:t>
            </w:r>
          </w:p>
        </w:tc>
        <w:tc>
          <w:tcPr>
            <w:tcW w:w="1038" w:type="dxa"/>
            <w:vAlign w:val="center"/>
          </w:tcPr>
          <w:p>
            <w:pPr>
              <w:pStyle w:val="26"/>
              <w:spacing w:line="360" w:lineRule="auto"/>
              <w:jc w:val="center"/>
              <w:rPr>
                <w:rFonts w:hAnsi="宋体"/>
              </w:rPr>
            </w:pPr>
            <w:r>
              <w:rPr>
                <w:rFonts w:hint="eastAsia" w:hAnsi="宋体"/>
              </w:rPr>
              <w:t>33</w:t>
            </w:r>
            <w:r>
              <w:rPr>
                <w:rFonts w:hAnsi="宋体"/>
              </w:rPr>
              <w:t>.</w:t>
            </w:r>
            <w:r>
              <w:rPr>
                <w:rFonts w:hint="eastAsia" w:hAnsi="宋体"/>
              </w:rPr>
              <w:t>1</w:t>
            </w:r>
          </w:p>
        </w:tc>
        <w:tc>
          <w:tcPr>
            <w:tcW w:w="1843" w:type="dxa"/>
            <w:vAlign w:val="center"/>
          </w:tcPr>
          <w:p>
            <w:pPr>
              <w:pStyle w:val="26"/>
              <w:spacing w:line="360" w:lineRule="auto"/>
              <w:jc w:val="center"/>
              <w:rPr>
                <w:rFonts w:hAnsi="宋体"/>
              </w:rPr>
            </w:pPr>
            <w:r>
              <w:rPr>
                <w:rFonts w:hint="eastAsia" w:hAnsi="宋体"/>
              </w:rPr>
              <w:t>中标服务费</w:t>
            </w:r>
          </w:p>
        </w:tc>
        <w:tc>
          <w:tcPr>
            <w:tcW w:w="6520" w:type="dxa"/>
          </w:tcPr>
          <w:p>
            <w:pPr>
              <w:pStyle w:val="26"/>
              <w:spacing w:line="360" w:lineRule="auto"/>
              <w:rPr>
                <w:rFonts w:hAnsi="宋体"/>
              </w:rPr>
            </w:pPr>
            <w:r>
              <w:rPr>
                <w:rFonts w:hint="eastAsia" w:asciiTheme="minorEastAsia" w:hAnsiTheme="minorEastAsia" w:eastAsiaTheme="minorEastAsia"/>
                <w:szCs w:val="21"/>
              </w:rPr>
              <w:t>按深财购[2018]27号文件的代理费用参考标准（</w:t>
            </w:r>
            <w:r>
              <w:rPr>
                <w:rFonts w:hint="eastAsia" w:asciiTheme="minorEastAsia" w:hAnsiTheme="minorEastAsia" w:eastAsiaTheme="minorEastAsia"/>
              </w:rPr>
              <w:t>详见《投标人须知》</w:t>
            </w:r>
            <w:r>
              <w:rPr>
                <w:rFonts w:hint="eastAsia" w:asciiTheme="minorEastAsia" w:hAnsiTheme="minorEastAsia" w:eastAsiaTheme="minorEastAsia"/>
                <w:szCs w:val="21"/>
              </w:rPr>
              <w:t>），向中标供应商收取</w:t>
            </w:r>
            <w:r>
              <w:rPr>
                <w:rFonts w:hint="eastAsia" w:asciiTheme="minorEastAsia" w:hAnsiTheme="minorEastAsia" w:eastAsiaTheme="minorEastAsia"/>
              </w:rPr>
              <w:t>，最低收取人民币6000元。</w:t>
            </w:r>
          </w:p>
        </w:tc>
      </w:tr>
    </w:tbl>
    <w:p>
      <w:pPr>
        <w:rPr>
          <w:rFonts w:eastAsiaTheme="minorEastAsia"/>
          <w:kern w:val="44"/>
        </w:rPr>
      </w:pPr>
    </w:p>
    <w:p>
      <w:pPr>
        <w:pStyle w:val="3"/>
        <w:spacing w:before="0" w:after="0"/>
        <w:rPr>
          <w:sz w:val="21"/>
          <w:szCs w:val="21"/>
        </w:rPr>
      </w:pPr>
    </w:p>
    <w:p>
      <w:pPr>
        <w:pStyle w:val="3"/>
      </w:pPr>
      <w:bookmarkStart w:id="27" w:name="_Toc11814"/>
      <w:r>
        <w:rPr>
          <w:rFonts w:hint="eastAsia"/>
        </w:rPr>
        <w:t>第六章  投标人须知</w:t>
      </w:r>
      <w:bookmarkEnd w:id="27"/>
    </w:p>
    <w:p>
      <w:pPr>
        <w:pStyle w:val="4"/>
        <w:spacing w:before="0" w:after="0"/>
      </w:pPr>
      <w:bookmarkStart w:id="28" w:name="_Toc23372"/>
      <w:r>
        <w:rPr>
          <w:rFonts w:hint="eastAsia"/>
        </w:rPr>
        <w:t>一、说</w:t>
      </w:r>
      <w:r>
        <w:t xml:space="preserve">  </w:t>
      </w:r>
      <w:r>
        <w:rPr>
          <w:rFonts w:hint="eastAsia"/>
        </w:rPr>
        <w:t>明</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及有关招投标法规、规章、规定通过招标来择优选定投标人。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”系指前附表第2项所述。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”系前附表第3项所述。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“投标人”系指向</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“货物”系指投标人按招标文件规定，向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提供的设备及材料的安装。</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提供符合方案的服务。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（2）投标联合体各方必须有一方先行注册成深圳市政府采购中心供应商。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将按前附表第7项的规定，组织投标人对现场及周围环境进行踏勘，以便投标人获取须自己负责的有关编制投标文件和签署合同所需的所有资料。踏勘现场所发生的费用由投标人自己承担。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9" w:name="q5"/>
      <w:bookmarkEnd w:id="29"/>
    </w:p>
    <w:p>
      <w:pPr>
        <w:pStyle w:val="4"/>
        <w:spacing w:before="0" w:after="0"/>
      </w:pPr>
      <w:bookmarkStart w:id="30" w:name="_Toc30087"/>
      <w:r>
        <w:rPr>
          <w:rFonts w:hint="eastAsia"/>
        </w:rPr>
        <w:t>二、招标文件说明</w:t>
      </w:r>
      <w:bookmarkEnd w:id="30"/>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招标文件是用以阐明所需设备及服务的情况，以及招标、投标程序和相应的合同条款。招标文件由下述部份组成：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4"/>
        <w:spacing w:before="0" w:after="0"/>
      </w:pPr>
      <w:bookmarkStart w:id="31" w:name="q6"/>
      <w:bookmarkEnd w:id="31"/>
      <w:bookmarkStart w:id="32" w:name="_Toc17792"/>
      <w:r>
        <w:rPr>
          <w:rFonts w:hint="eastAsia"/>
        </w:rPr>
        <w:t>三、投标文件的编写</w:t>
      </w:r>
      <w:bookmarkEnd w:id="32"/>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（4）投标函（投标文件格式2）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（投标文件格式3）</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（6）报价表（投标文件格式5）</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hint="eastAsia"/>
          <w:snapToGrid w:val="0"/>
          <w:kern w:val="0"/>
        </w:rPr>
        <w:t>服务方案</w:t>
      </w:r>
      <w:r>
        <w:rPr>
          <w:rFonts w:hint="eastAsia" w:asciiTheme="minorEastAsia" w:hAnsiTheme="minorEastAsia" w:eastAsiaTheme="minorEastAsia"/>
          <w:snapToGrid w:val="0"/>
          <w:kern w:val="0"/>
        </w:rPr>
        <w:t>（投标文件格式6）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投标人资格</w:t>
      </w:r>
      <w:r>
        <w:rPr>
          <w:rFonts w:hint="eastAsia" w:asciiTheme="minorEastAsia" w:hAnsiTheme="minorEastAsia" w:eastAsiaTheme="minorEastAsia"/>
          <w:snapToGrid w:val="0"/>
          <w:kern w:val="0"/>
        </w:rPr>
        <w:t>声明 （投标文件格式7）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（9）偏离表（投标文件格式8）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（10）招标文件要求的其他资料或投标人认为需要补充的资料（投标文件格式9）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（11）装有“法定代表人证明书、法定代表人授权书”和“开标一览表”单独密封的信封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投标报价应为到指定地点价，以人民币为结算单位。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投标人应分别在招标文件所附的“开标一览表”（投标文件格式4）和“报价表”（投标文件格式5）上写明</w:t>
      </w:r>
      <w:r>
        <w:rPr>
          <w:rFonts w:hint="eastAsia"/>
          <w:snapToGrid w:val="0"/>
          <w:kern w:val="0"/>
        </w:rPr>
        <w:t>投标单价和投标总价</w:t>
      </w:r>
      <w:r>
        <w:rPr>
          <w:rFonts w:hint="eastAsia" w:asciiTheme="minorEastAsia" w:hAnsiTheme="minorEastAsia" w:eastAsiaTheme="minorEastAsia"/>
          <w:snapToGrid w:val="0"/>
          <w:kern w:val="0"/>
        </w:rPr>
        <w:t>。投标人对每种项目只允许有一个报价，招标代理机构不接受有任何选择的报价。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投标人必须提交证明其有资格进行投标，和中标后有能力履行合同的证明文件（投标文件格式1与格式7），作为投标文件的一部分。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投标保证金（本项目不适用）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投标保证金为投标文件的组成部份之一。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提交一笔不少于前附表第9项所规定的投标保证金。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ind w:left="630" w:hanging="630" w:hangingChars="300"/>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未中标的投标人的投标保证金，招标代理机构将在中标通知书发出且收到投标人的《投标保证金退还申请表》后5个工作日内退还。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中标方的投标保证金，招标代理机构将在中标方签订合同并支付中标服务费后5个工作日内退还。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已递交了投标保证金的投标人放弃投标，而没有在投标保证金递交截止时间前书面通知招标代理机构的；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如果中标方未能做到：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另行书面通知的时间和地点，派出代表出席</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17.6  投标文件不符合上述规定，为无效投标。</w:t>
      </w:r>
    </w:p>
    <w:p>
      <w:pPr>
        <w:adjustRightInd w:val="0"/>
        <w:spacing w:line="360" w:lineRule="auto"/>
        <w:rPr>
          <w:rFonts w:asciiTheme="minorEastAsia" w:hAnsiTheme="minorEastAsia" w:eastAsiaTheme="minorEastAsia"/>
          <w:snapToGrid w:val="0"/>
          <w:kern w:val="0"/>
        </w:rPr>
      </w:pPr>
    </w:p>
    <w:p>
      <w:pPr>
        <w:pStyle w:val="4"/>
        <w:spacing w:before="0" w:after="0"/>
      </w:pPr>
      <w:bookmarkStart w:id="33" w:name="q7"/>
      <w:bookmarkEnd w:id="33"/>
      <w:bookmarkStart w:id="34" w:name="_Toc11913"/>
      <w:r>
        <w:rPr>
          <w:rFonts w:hint="eastAsia"/>
        </w:rPr>
        <w:t>四、投标文件的递交</w:t>
      </w:r>
      <w:bookmarkEnd w:id="34"/>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投标人应将投标文件备份文件光盘密封于一信封，在信封上注明“备份光盘（或U盘）”。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w:t>
      </w:r>
      <w:r>
        <w:rPr>
          <w:rFonts w:hint="eastAsia"/>
          <w:snapToGrid w:val="0"/>
          <w:kern w:val="0"/>
        </w:rPr>
        <w:t>“备份光盘（或U盘）”一起封装在同一个外层包封中，同时还应在封套上载明以下信息</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w:t>
      </w:r>
      <w:r>
        <w:rPr>
          <w:rFonts w:hint="eastAsia"/>
          <w:snapToGrid w:val="0"/>
          <w:kern w:val="0"/>
        </w:rPr>
        <w:t>备份光盘（或U盘）</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投标人应将“法定代表人证明书、法定代表人授权委托证明书”和“开标一览表”单独密封于一信封，在递交投标文件时单独交与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注明：“开标一览表”和“法定代表人证明书、法定代表人授权委托证明书”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投标文件需由专人送交。投标人应按18.1～18.7中的规定进行密封和标记后，将投标文件按照前附表第12项中注明的地址送至招标代理机构。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在前附表第</w:t>
      </w:r>
      <w:bookmarkStart w:id="35" w:name="_Hlt35050056"/>
      <w:bookmarkEnd w:id="35"/>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4"/>
        <w:spacing w:before="0" w:after="0"/>
      </w:pPr>
      <w:bookmarkStart w:id="36" w:name="q8"/>
      <w:bookmarkEnd w:id="36"/>
      <w:bookmarkStart w:id="37" w:name="_Toc2491"/>
      <w:r>
        <w:rPr>
          <w:rFonts w:hint="eastAsia"/>
        </w:rPr>
        <w:t>五、开标和评标</w:t>
      </w:r>
      <w:bookmarkEnd w:id="37"/>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所有投标人法定代表人或授权代表都须按时参加开标会，否则不接受其投标。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22.3  开标时，</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核对法定代表人或其授权代表身份证明，若不能提供相应的身份证明或不相符，则视为无效投标。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22.3</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22.3</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3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专家组成。评标委员会对投标文件进行审查、质疑、评估和比较。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招标机构就投标文件中的资格证明等内容对投标供应商进行资格性审查，审查不合格的，认定其投标无效。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zCs w:val="21"/>
        </w:rPr>
        <w:t xml:space="preserve">    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在对投标文件进行详细评估之前，评标委员会将依据投标人提供的“资格证明文件”审查投标人的财务、技术和生产能力。如果确定投标人无资格履行合同，其投标将被拒绝。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24.8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24.9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评标方法和标准”所述进行详细评审，并推荐中标候选人。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38" w:name="q9"/>
      <w:bookmarkEnd w:id="38"/>
    </w:p>
    <w:p>
      <w:pPr>
        <w:pStyle w:val="4"/>
        <w:spacing w:before="0" w:after="0"/>
      </w:pPr>
      <w:bookmarkStart w:id="39" w:name="_Toc4530"/>
      <w:r>
        <w:rPr>
          <w:rFonts w:hint="eastAsia"/>
        </w:rPr>
        <w:t>六、授予合同</w:t>
      </w:r>
      <w:bookmarkEnd w:id="39"/>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29.1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29.3  中标方向招标代理机构支付中标服务费后，领取《中标通知书》。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中标方应按《中标通知书》或按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招标文件、中标方的投标文件及其澄清文件等，均为签订合同的依据。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中标方须按招标文件的规定或根据合同条款的规定向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31"/>
        <w:gridCol w:w="1897"/>
        <w:gridCol w:w="1898"/>
        <w:gridCol w:w="18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5" w:hRule="atLeast"/>
          <w:jc w:val="center"/>
        </w:trPr>
        <w:tc>
          <w:tcPr>
            <w:tcW w:w="2131" w:type="dxa"/>
          </w:tcPr>
          <w:p>
            <w:pPr>
              <w:spacing w:line="360" w:lineRule="auto"/>
              <w:ind w:firstLine="420" w:firstLineChars="200"/>
              <w:rPr>
                <w:rFonts w:asciiTheme="minorEastAsia" w:hAnsiTheme="minorEastAsia" w:eastAsiaTheme="minorEastAsia"/>
              </w:rPr>
            </w:pPr>
            <w:r>
              <w:rPr>
                <w:rFonts w:asciiTheme="minorEastAsia" w:hAnsiTheme="minorEastAsia" w:eastAsiaTheme="minorEastAsia"/>
              </w:rPr>
              <mc:AlternateContent>
                <mc:Choice Requires="wps">
                  <w:drawing>
                    <wp:anchor distT="0" distB="0" distL="114300" distR="114300" simplePos="0" relativeHeight="251674624" behindDoc="0" locked="0" layoutInCell="1" allowOverlap="1">
                      <wp:simplePos x="0" y="0"/>
                      <wp:positionH relativeFrom="column">
                        <wp:posOffset>716280</wp:posOffset>
                      </wp:positionH>
                      <wp:positionV relativeFrom="paragraph">
                        <wp:posOffset>552450</wp:posOffset>
                      </wp:positionV>
                      <wp:extent cx="54610" cy="119380"/>
                      <wp:effectExtent l="0" t="0" r="0" b="0"/>
                      <wp:wrapNone/>
                      <wp:docPr id="17" name="__TH_B3733"/>
                      <wp:cNvGraphicFramePr/>
                      <a:graphic xmlns:a="http://schemas.openxmlformats.org/drawingml/2006/main">
                        <a:graphicData uri="http://schemas.microsoft.com/office/word/2010/wordprocessingShape">
                          <wps:wsp>
                            <wps:cNvSpPr txBox="1"/>
                            <wps:spPr>
                              <a:xfrm>
                                <a:off x="0" y="0"/>
                                <a:ext cx="54610" cy="119380"/>
                              </a:xfrm>
                              <a:prstGeom prst="rect">
                                <a:avLst/>
                              </a:prstGeom>
                              <a:noFill/>
                              <a:ln>
                                <a:noFill/>
                              </a:ln>
                            </wps:spPr>
                            <wps:txbx>
                              <w:txbxContent>
                                <w:p>
                                  <w:pPr>
                                    <w:snapToGrid w:val="0"/>
                                    <w:rPr>
                                      <w:sz w:val="15"/>
                                    </w:rPr>
                                  </w:pPr>
                                  <w:r>
                                    <w:rPr>
                                      <w:rFonts w:hint="eastAsia"/>
                                      <w:sz w:val="15"/>
                                    </w:rPr>
                                    <w:t>元</w:t>
                                  </w:r>
                                </w:p>
                              </w:txbxContent>
                            </wps:txbx>
                            <wps:bodyPr lIns="0" tIns="0" rIns="0" bIns="0" upright="1"/>
                          </wps:wsp>
                        </a:graphicData>
                      </a:graphic>
                    </wp:anchor>
                  </w:drawing>
                </mc:Choice>
                <mc:Fallback>
                  <w:pict>
                    <v:shape id="__TH_B3733" o:spid="_x0000_s1026" o:spt="202" type="#_x0000_t202" style="position:absolute;left:0pt;margin-left:56.4pt;margin-top:43.5pt;height:9.4pt;width:4.3pt;z-index:251674624;mso-width-relative:page;mso-height-relative:page;" filled="f" stroked="f" coordsize="21600,21600" o:gfxdata="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zAhNL&#10;2AAAAAoBAAAPAAAAAAAAAAEAIAAAACIAAABkcnMvZG93bnJldi54bWxQSwECFAAUAAAACACHTuJA&#10;6R9c/q8BAABwAwAADgAAAAAAAAABACAAAAAnAQAAZHJzL2Uyb0RvYy54bWxQSwUGAAAAAAYABgBZ&#10;AQAASAUAAAAA&#10;">
                      <v:fill on="f" focussize="0,0"/>
                      <v:stroke on="f"/>
                      <v:imagedata o:title=""/>
                      <o:lock v:ext="edit" aspectratio="f"/>
                      <v:textbox inset="0mm,0mm,0mm,0mm">
                        <w:txbxContent>
                          <w:p>
                            <w:pPr>
                              <w:snapToGrid w:val="0"/>
                              <w:rPr>
                                <w:sz w:val="15"/>
                              </w:rPr>
                            </w:pPr>
                            <w:r>
                              <w:rPr>
                                <w:rFonts w:hint="eastAsia"/>
                                <w:sz w:val="15"/>
                              </w:rPr>
                              <w:t>元</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73600" behindDoc="0" locked="0" layoutInCell="1" allowOverlap="1">
                      <wp:simplePos x="0" y="0"/>
                      <wp:positionH relativeFrom="column">
                        <wp:posOffset>565785</wp:posOffset>
                      </wp:positionH>
                      <wp:positionV relativeFrom="paragraph">
                        <wp:posOffset>537845</wp:posOffset>
                      </wp:positionV>
                      <wp:extent cx="125095" cy="119380"/>
                      <wp:effectExtent l="0" t="0" r="0" b="0"/>
                      <wp:wrapNone/>
                      <wp:docPr id="16" name="__TH_B3632"/>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pPr>
                                    <w:snapToGrid w:val="0"/>
                                    <w:rPr>
                                      <w:sz w:val="15"/>
                                    </w:rPr>
                                  </w:pPr>
                                  <w:r>
                                    <w:rPr>
                                      <w:rFonts w:hint="eastAsia"/>
                                      <w:sz w:val="15"/>
                                    </w:rPr>
                                    <w:t>万</w:t>
                                  </w:r>
                                </w:p>
                              </w:txbxContent>
                            </wps:txbx>
                            <wps:bodyPr lIns="0" tIns="0" rIns="0" bIns="0" upright="1"/>
                          </wps:wsp>
                        </a:graphicData>
                      </a:graphic>
                    </wp:anchor>
                  </w:drawing>
                </mc:Choice>
                <mc:Fallback>
                  <w:pict>
                    <v:shape id="__TH_B3632" o:spid="_x0000_s1026" o:spt="202" type="#_x0000_t202" style="position:absolute;left:0pt;margin-left:44.55pt;margin-top:42.35pt;height:9.4pt;width:9.85pt;z-index:251673600;mso-width-relative:page;mso-height-relative:page;" filled="f" stroked="f" coordsize="21600,21600" o:gfxdata="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GGgM7nX&#10;AAAACQEAAA8AAAAAAAAAAQAgAAAAIgAAAGRycy9kb3ducmV2LnhtbFBLAQIUABQAAAAIAIdO4kC5&#10;DMrVrwEAAHEDAAAOAAAAAAAAAAEAIAAAACYBAABkcnMvZTJvRG9jLnhtbFBLBQYAAAAABgAGAFkB&#10;AABHBQAAAAA=&#10;">
                      <v:fill on="f" focussize="0,0"/>
                      <v:stroke on="f"/>
                      <v:imagedata o:title=""/>
                      <o:lock v:ext="edit" aspectratio="f"/>
                      <v:textbox inset="0mm,0mm,0mm,0mm">
                        <w:txbxContent>
                          <w:p>
                            <w:pPr>
                              <w:snapToGrid w:val="0"/>
                              <w:rPr>
                                <w:sz w:val="15"/>
                              </w:rPr>
                            </w:pPr>
                            <w:r>
                              <w:rPr>
                                <w:rFonts w:hint="eastAsia"/>
                                <w:sz w:val="15"/>
                              </w:rPr>
                              <w:t>万</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72576" behindDoc="0" locked="0" layoutInCell="1" allowOverlap="1">
                      <wp:simplePos x="0" y="0"/>
                      <wp:positionH relativeFrom="column">
                        <wp:posOffset>488315</wp:posOffset>
                      </wp:positionH>
                      <wp:positionV relativeFrom="paragraph">
                        <wp:posOffset>523240</wp:posOffset>
                      </wp:positionV>
                      <wp:extent cx="49530" cy="119380"/>
                      <wp:effectExtent l="0" t="0" r="0" b="0"/>
                      <wp:wrapNone/>
                      <wp:docPr id="15" name="__TH_B3531"/>
                      <wp:cNvGraphicFramePr/>
                      <a:graphic xmlns:a="http://schemas.openxmlformats.org/drawingml/2006/main">
                        <a:graphicData uri="http://schemas.microsoft.com/office/word/2010/wordprocessingShape">
                          <wps:wsp>
                            <wps:cNvSpPr txBox="1"/>
                            <wps:spPr>
                              <a:xfrm>
                                <a:off x="0" y="0"/>
                                <a:ext cx="49530" cy="119380"/>
                              </a:xfrm>
                              <a:prstGeom prst="rect">
                                <a:avLst/>
                              </a:prstGeom>
                              <a:noFill/>
                              <a:ln>
                                <a:noFill/>
                              </a:ln>
                            </wps:spPr>
                            <wps:txbx>
                              <w:txbxContent>
                                <w:p>
                                  <w:pPr>
                                    <w:snapToGrid w:val="0"/>
                                    <w:rPr>
                                      <w:sz w:val="15"/>
                                    </w:rPr>
                                  </w:pPr>
                                  <w:r>
                                    <w:rPr>
                                      <w:sz w:val="15"/>
                                    </w:rPr>
                                    <w:t>(</w:t>
                                  </w:r>
                                </w:p>
                              </w:txbxContent>
                            </wps:txbx>
                            <wps:bodyPr lIns="0" tIns="0" rIns="0" bIns="0" upright="1"/>
                          </wps:wsp>
                        </a:graphicData>
                      </a:graphic>
                    </wp:anchor>
                  </w:drawing>
                </mc:Choice>
                <mc:Fallback>
                  <w:pict>
                    <v:shape id="__TH_B3531" o:spid="_x0000_s1026" o:spt="202" type="#_x0000_t202" style="position:absolute;left:0pt;margin-left:38.45pt;margin-top:41.2pt;height:9.4pt;width:3.9pt;z-index:251672576;mso-width-relative:page;mso-height-relative:page;" filled="f" stroked="f" coordsize="21600,21600" o:gfxdata="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uZXXrY&#10;AAAACAEAAA8AAAAAAAAAAQAgAAAAIgAAAGRycy9kb3ducmV2LnhtbFBLAQIUABQAAAAIAIdO4kCB&#10;2wysrgEAAHADAAAOAAAAAAAAAAEAIAAAACcBAABkcnMvZTJvRG9jLnhtbFBLBQYAAAAABgAGAFkB&#10;AABHBQAAAAA=&#10;">
                      <v:fill on="f" focussize="0,0"/>
                      <v:stroke on="f"/>
                      <v:imagedata o:title=""/>
                      <o:lock v:ext="edit" aspectratio="f"/>
                      <v:textbox inset="0mm,0mm,0mm,0mm">
                        <w:txbxContent>
                          <w:p>
                            <w:pPr>
                              <w:snapToGrid w:val="0"/>
                              <w:rPr>
                                <w:sz w:val="15"/>
                              </w:rPr>
                            </w:pPr>
                            <w:r>
                              <w:rPr>
                                <w:sz w:val="15"/>
                              </w:rPr>
                              <w:t>(</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71552" behindDoc="0" locked="0" layoutInCell="1" allowOverlap="1">
                      <wp:simplePos x="0" y="0"/>
                      <wp:positionH relativeFrom="column">
                        <wp:posOffset>334645</wp:posOffset>
                      </wp:positionH>
                      <wp:positionV relativeFrom="paragraph">
                        <wp:posOffset>508635</wp:posOffset>
                      </wp:positionV>
                      <wp:extent cx="125730" cy="119380"/>
                      <wp:effectExtent l="0" t="0" r="0" b="0"/>
                      <wp:wrapNone/>
                      <wp:docPr id="14" name="__TH_B3430"/>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wps:spPr>
                            <wps:txbx>
                              <w:txbxContent>
                                <w:p>
                                  <w:pPr>
                                    <w:snapToGrid w:val="0"/>
                                    <w:rPr>
                                      <w:sz w:val="15"/>
                                    </w:rPr>
                                  </w:pPr>
                                  <w:r>
                                    <w:rPr>
                                      <w:rFonts w:hint="eastAsia"/>
                                      <w:sz w:val="15"/>
                                    </w:rPr>
                                    <w:t>额</w:t>
                                  </w:r>
                                </w:p>
                              </w:txbxContent>
                            </wps:txbx>
                            <wps:bodyPr lIns="0" tIns="0" rIns="0" bIns="0" upright="1"/>
                          </wps:wsp>
                        </a:graphicData>
                      </a:graphic>
                    </wp:anchor>
                  </w:drawing>
                </mc:Choice>
                <mc:Fallback>
                  <w:pict>
                    <v:shape id="__TH_B3430" o:spid="_x0000_s1026" o:spt="202" type="#_x0000_t202" style="position:absolute;left:0pt;margin-left:26.35pt;margin-top:40.05pt;height:9.4pt;width:9.9pt;z-index:251671552;mso-width-relative:page;mso-height-relative:page;" filled="f" stroked="f" coordsize="21600,21600" o:gfxdata="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dakhx1wAA&#10;AAcBAAAPAAAAAAAAAAEAIAAAACIAAABkcnMvZG93bnJldi54bWxQSwECFAAUAAAACACHTuJAwsoD&#10;iq0BAABxAwAADgAAAAAAAAABACAAAAAmAQAAZHJzL2Uyb0RvYy54bWxQSwUGAAAAAAYABgBZAQAA&#10;RQUAAAAA&#10;">
                      <v:fill on="f" focussize="0,0"/>
                      <v:stroke on="f"/>
                      <v:imagedata o:title=""/>
                      <o:lock v:ext="edit" aspectratio="f"/>
                      <v:textbox inset="0mm,0mm,0mm,0mm">
                        <w:txbxContent>
                          <w:p>
                            <w:pPr>
                              <w:snapToGrid w:val="0"/>
                              <w:rPr>
                                <w:sz w:val="15"/>
                              </w:rPr>
                            </w:pPr>
                            <w:r>
                              <w:rPr>
                                <w:rFonts w:hint="eastAsia"/>
                                <w:sz w:val="15"/>
                              </w:rPr>
                              <w:t>额</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70528" behindDoc="0" locked="0" layoutInCell="1" allowOverlap="1">
                      <wp:simplePos x="0" y="0"/>
                      <wp:positionH relativeFrom="column">
                        <wp:posOffset>219710</wp:posOffset>
                      </wp:positionH>
                      <wp:positionV relativeFrom="paragraph">
                        <wp:posOffset>494030</wp:posOffset>
                      </wp:positionV>
                      <wp:extent cx="125095" cy="119380"/>
                      <wp:effectExtent l="0" t="0" r="0" b="0"/>
                      <wp:wrapNone/>
                      <wp:docPr id="13" name="__TH_B3329"/>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pPr>
                                    <w:snapToGrid w:val="0"/>
                                    <w:rPr>
                                      <w:sz w:val="15"/>
                                    </w:rPr>
                                  </w:pPr>
                                  <w:r>
                                    <w:rPr>
                                      <w:rFonts w:hint="eastAsia"/>
                                      <w:sz w:val="15"/>
                                    </w:rPr>
                                    <w:t>金</w:t>
                                  </w:r>
                                </w:p>
                              </w:txbxContent>
                            </wps:txbx>
                            <wps:bodyPr lIns="0" tIns="0" rIns="0" bIns="0" upright="1"/>
                          </wps:wsp>
                        </a:graphicData>
                      </a:graphic>
                    </wp:anchor>
                  </w:drawing>
                </mc:Choice>
                <mc:Fallback>
                  <w:pict>
                    <v:shape id="__TH_B3329" o:spid="_x0000_s1026" o:spt="202" type="#_x0000_t202" style="position:absolute;left:0pt;margin-left:17.3pt;margin-top:38.9pt;height:9.4pt;width:9.85pt;z-index:251670528;mso-width-relative:page;mso-height-relative:page;" filled="f" stroked="f" coordsize="21600,21600" o:gfxdata="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K2dTyHX&#10;AAAABwEAAA8AAAAAAAAAAQAgAAAAIgAAAGRycy9kb3ducmV2LnhtbFBLAQIUABQAAAAIAIdO4kCw&#10;y4x/rwEAAHEDAAAOAAAAAAAAAAEAIAAAACYBAABkcnMvZTJvRG9jLnhtbFBLBQYAAAAABgAGAFkB&#10;AABHBQAAAAA=&#10;">
                      <v:fill on="f" focussize="0,0"/>
                      <v:stroke on="f"/>
                      <v:imagedata o:title=""/>
                      <o:lock v:ext="edit" aspectratio="f"/>
                      <v:textbox inset="0mm,0mm,0mm,0mm">
                        <w:txbxContent>
                          <w:p>
                            <w:pPr>
                              <w:snapToGrid w:val="0"/>
                              <w:rPr>
                                <w:sz w:val="15"/>
                              </w:rPr>
                            </w:pPr>
                            <w:r>
                              <w:rPr>
                                <w:rFonts w:hint="eastAsia"/>
                                <w:sz w:val="15"/>
                              </w:rPr>
                              <w:t>金</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9504" behindDoc="0" locked="0" layoutInCell="1" allowOverlap="1">
                      <wp:simplePos x="0" y="0"/>
                      <wp:positionH relativeFrom="column">
                        <wp:posOffset>104140</wp:posOffset>
                      </wp:positionH>
                      <wp:positionV relativeFrom="paragraph">
                        <wp:posOffset>479425</wp:posOffset>
                      </wp:positionV>
                      <wp:extent cx="125730" cy="119380"/>
                      <wp:effectExtent l="0" t="0" r="0" b="0"/>
                      <wp:wrapNone/>
                      <wp:docPr id="12" name="__TH_B3228"/>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wps:spPr>
                            <wps:txbx>
                              <w:txbxContent>
                                <w:p>
                                  <w:pPr>
                                    <w:snapToGrid w:val="0"/>
                                    <w:rPr>
                                      <w:sz w:val="15"/>
                                    </w:rPr>
                                  </w:pPr>
                                  <w:r>
                                    <w:rPr>
                                      <w:rFonts w:hint="eastAsia"/>
                                      <w:sz w:val="15"/>
                                    </w:rPr>
                                    <w:t>标</w:t>
                                  </w:r>
                                </w:p>
                              </w:txbxContent>
                            </wps:txbx>
                            <wps:bodyPr lIns="0" tIns="0" rIns="0" bIns="0" upright="1"/>
                          </wps:wsp>
                        </a:graphicData>
                      </a:graphic>
                    </wp:anchor>
                  </w:drawing>
                </mc:Choice>
                <mc:Fallback>
                  <w:pict>
                    <v:shape id="__TH_B3228" o:spid="_x0000_s1026" o:spt="202" type="#_x0000_t202" style="position:absolute;left:0pt;margin-left:8.2pt;margin-top:37.75pt;height:9.4pt;width:9.9pt;z-index:251669504;mso-width-relative:page;mso-height-relative:page;" filled="f" stroked="f" coordsize="21600,21600" o:gfxdata="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W1nYT1gAA&#10;AAcBAAAPAAAAAAAAAAEAIAAAACIAAABkcnMvZG93bnJldi54bWxQSwECFAAUAAAACACHTuJAeZcd&#10;P64BAABxAwAADgAAAAAAAAABACAAAAAlAQAAZHJzL2Uyb0RvYy54bWxQSwUGAAAAAAYABgBZAQAA&#10;RQUAAAAA&#10;">
                      <v:fill on="f" focussize="0,0"/>
                      <v:stroke on="f"/>
                      <v:imagedata o:title=""/>
                      <o:lock v:ext="edit" aspectratio="f"/>
                      <v:textbox inset="0mm,0mm,0mm,0mm">
                        <w:txbxContent>
                          <w:p>
                            <w:pPr>
                              <w:snapToGrid w:val="0"/>
                              <w:rPr>
                                <w:sz w:val="15"/>
                              </w:rPr>
                            </w:pPr>
                            <w:r>
                              <w:rPr>
                                <w:rFonts w:hint="eastAsia"/>
                                <w:sz w:val="15"/>
                              </w:rPr>
                              <w:t>标</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8480" behindDoc="0" locked="0" layoutInCell="1" allowOverlap="1">
                      <wp:simplePos x="0" y="0"/>
                      <wp:positionH relativeFrom="column">
                        <wp:posOffset>-10795</wp:posOffset>
                      </wp:positionH>
                      <wp:positionV relativeFrom="paragraph">
                        <wp:posOffset>464820</wp:posOffset>
                      </wp:positionV>
                      <wp:extent cx="125095" cy="119380"/>
                      <wp:effectExtent l="0" t="0" r="0" b="0"/>
                      <wp:wrapNone/>
                      <wp:docPr id="11" name="__TH_B3127"/>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pPr>
                                    <w:snapToGrid w:val="0"/>
                                    <w:rPr>
                                      <w:sz w:val="15"/>
                                    </w:rPr>
                                  </w:pPr>
                                  <w:r>
                                    <w:rPr>
                                      <w:rFonts w:hint="eastAsia"/>
                                      <w:sz w:val="15"/>
                                    </w:rPr>
                                    <w:t>中</w:t>
                                  </w:r>
                                </w:p>
                              </w:txbxContent>
                            </wps:txbx>
                            <wps:bodyPr lIns="0" tIns="0" rIns="0" bIns="0" upright="1"/>
                          </wps:wsp>
                        </a:graphicData>
                      </a:graphic>
                    </wp:anchor>
                  </w:drawing>
                </mc:Choice>
                <mc:Fallback>
                  <w:pict>
                    <v:shape id="__TH_B3127" o:spid="_x0000_s1026" o:spt="202" type="#_x0000_t202" style="position:absolute;left:0pt;margin-left:-0.85pt;margin-top:36.6pt;height:9.4pt;width:9.85pt;z-index:251668480;mso-width-relative:page;mso-height-relative:page;" filled="f" stroked="f" coordsize="21600,21600" o:gfxdata="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N6DNNYA&#10;AAAHAQAADwAAAAAAAAABACAAAAAiAAAAZHJzL2Rvd25yZXYueG1sUEsBAhQAFAAAAAgAh07iQCZH&#10;BwOvAQAAcQMAAA4AAAAAAAAAAQAgAAAAJQEAAGRycy9lMm9Eb2MueG1sUEsFBgAAAAAGAAYAWQEA&#10;AEYFAAAAAA==&#10;">
                      <v:fill on="f" focussize="0,0"/>
                      <v:stroke on="f"/>
                      <v:imagedata o:title=""/>
                      <o:lock v:ext="edit" aspectratio="f"/>
                      <v:textbox inset="0mm,0mm,0mm,0mm">
                        <w:txbxContent>
                          <w:p>
                            <w:pPr>
                              <w:snapToGrid w:val="0"/>
                              <w:rPr>
                                <w:sz w:val="15"/>
                              </w:rPr>
                            </w:pPr>
                            <w:r>
                              <w:rPr>
                                <w:rFonts w:hint="eastAsia"/>
                                <w:sz w:val="15"/>
                              </w:rPr>
                              <w:t>中</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7456" behindDoc="0" locked="0" layoutInCell="1" allowOverlap="1">
                      <wp:simplePos x="0" y="0"/>
                      <wp:positionH relativeFrom="column">
                        <wp:posOffset>805180</wp:posOffset>
                      </wp:positionH>
                      <wp:positionV relativeFrom="paragraph">
                        <wp:posOffset>407035</wp:posOffset>
                      </wp:positionV>
                      <wp:extent cx="125095" cy="118745"/>
                      <wp:effectExtent l="0" t="0" r="0" b="0"/>
                      <wp:wrapNone/>
                      <wp:docPr id="10" name="__TH_B2226"/>
                      <wp:cNvGraphicFramePr/>
                      <a:graphic xmlns:a="http://schemas.openxmlformats.org/drawingml/2006/main">
                        <a:graphicData uri="http://schemas.microsoft.com/office/word/2010/wordprocessingShape">
                          <wps:wsp>
                            <wps:cNvSpPr txBox="1"/>
                            <wps:spPr>
                              <a:xfrm>
                                <a:off x="0" y="0"/>
                                <a:ext cx="125095" cy="118745"/>
                              </a:xfrm>
                              <a:prstGeom prst="rect">
                                <a:avLst/>
                              </a:prstGeom>
                              <a:noFill/>
                              <a:ln>
                                <a:noFill/>
                              </a:ln>
                            </wps:spPr>
                            <wps:txbx>
                              <w:txbxContent>
                                <w:p>
                                  <w:pPr>
                                    <w:snapToGrid w:val="0"/>
                                    <w:rPr>
                                      <w:sz w:val="15"/>
                                    </w:rPr>
                                  </w:pPr>
                                  <w:r>
                                    <w:rPr>
                                      <w:rFonts w:hint="eastAsia"/>
                                      <w:sz w:val="15"/>
                                    </w:rPr>
                                    <w:t>率</w:t>
                                  </w:r>
                                </w:p>
                              </w:txbxContent>
                            </wps:txbx>
                            <wps:bodyPr lIns="0" tIns="0" rIns="0" bIns="0" upright="1"/>
                          </wps:wsp>
                        </a:graphicData>
                      </a:graphic>
                    </wp:anchor>
                  </w:drawing>
                </mc:Choice>
                <mc:Fallback>
                  <w:pict>
                    <v:shape id="__TH_B2226" o:spid="_x0000_s1026" o:spt="202" type="#_x0000_t202" style="position:absolute;left:0pt;margin-left:63.4pt;margin-top:32.05pt;height:9.35pt;width:9.85pt;z-index:251667456;mso-width-relative:page;mso-height-relative:page;" filled="f" stroked="f" coordsize="21600,21600" o:gfxdata="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xa0q1NcA&#10;AAAJAQAADwAAAAAAAAABACAAAAAiAAAAZHJzL2Rvd25yZXYueG1sUEsBAhQAFAAAAAgAh07iQDvN&#10;2uSuAQAAcQMAAA4AAAAAAAAAAQAgAAAAJgEAAGRycy9lMm9Eb2MueG1sUEsFBgAAAAAGAAYAWQEA&#10;AEYFAAAAAA==&#10;">
                      <v:fill on="f" focussize="0,0"/>
                      <v:stroke on="f"/>
                      <v:imagedata o:title=""/>
                      <o:lock v:ext="edit" aspectratio="f"/>
                      <v:textbox inset="0mm,0mm,0mm,0mm">
                        <w:txbxContent>
                          <w:p>
                            <w:pPr>
                              <w:snapToGrid w:val="0"/>
                              <w:rPr>
                                <w:sz w:val="15"/>
                              </w:rPr>
                            </w:pPr>
                            <w:r>
                              <w:rPr>
                                <w:rFonts w:hint="eastAsia"/>
                                <w:sz w:val="15"/>
                              </w:rPr>
                              <w:t>率</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6432" behindDoc="0" locked="0" layoutInCell="1" allowOverlap="1">
                      <wp:simplePos x="0" y="0"/>
                      <wp:positionH relativeFrom="column">
                        <wp:posOffset>253365</wp:posOffset>
                      </wp:positionH>
                      <wp:positionV relativeFrom="paragraph">
                        <wp:posOffset>127635</wp:posOffset>
                      </wp:positionV>
                      <wp:extent cx="125730" cy="119380"/>
                      <wp:effectExtent l="0" t="0" r="0" b="0"/>
                      <wp:wrapNone/>
                      <wp:docPr id="9" name="__TH_B2125"/>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wps:spPr>
                            <wps:txbx>
                              <w:txbxContent>
                                <w:p>
                                  <w:pPr>
                                    <w:snapToGrid w:val="0"/>
                                    <w:rPr>
                                      <w:sz w:val="15"/>
                                    </w:rPr>
                                  </w:pPr>
                                  <w:r>
                                    <w:rPr>
                                      <w:rFonts w:hint="eastAsia"/>
                                      <w:sz w:val="15"/>
                                    </w:rPr>
                                    <w:t>费</w:t>
                                  </w:r>
                                </w:p>
                              </w:txbxContent>
                            </wps:txbx>
                            <wps:bodyPr lIns="0" tIns="0" rIns="0" bIns="0" upright="1"/>
                          </wps:wsp>
                        </a:graphicData>
                      </a:graphic>
                    </wp:anchor>
                  </w:drawing>
                </mc:Choice>
                <mc:Fallback>
                  <w:pict>
                    <v:shape id="__TH_B2125" o:spid="_x0000_s1026" o:spt="202" type="#_x0000_t202" style="position:absolute;left:0pt;margin-left:19.95pt;margin-top:10.05pt;height:9.4pt;width:9.9pt;z-index:251666432;mso-width-relative:page;mso-height-relative:page;" filled="f" stroked="f" coordsize="21600,21600" o:gfxdata="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M9x5DXVAAAA&#10;BwEAAA8AAAAAAAAAAQAgAAAAIgAAAGRycy9kb3ducmV2LnhtbFBLAQIUABQAAAAIAIdO4kBlobv5&#10;rgEAAHADAAAOAAAAAAAAAAEAIAAAACQBAABkcnMvZTJvRG9jLnhtbFBLBQYAAAAABgAGAFkBAABE&#10;BQAAAAA=&#10;">
                      <v:fill on="f" focussize="0,0"/>
                      <v:stroke on="f"/>
                      <v:imagedata o:title=""/>
                      <o:lock v:ext="edit" aspectratio="f"/>
                      <v:textbox inset="0mm,0mm,0mm,0mm">
                        <w:txbxContent>
                          <w:p>
                            <w:pPr>
                              <w:snapToGrid w:val="0"/>
                              <w:rPr>
                                <w:sz w:val="15"/>
                              </w:rPr>
                            </w:pPr>
                            <w:r>
                              <w:rPr>
                                <w:rFonts w:hint="eastAsia"/>
                                <w:sz w:val="15"/>
                              </w:rPr>
                              <w:t>费</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5408" behindDoc="0" locked="0" layoutInCell="1" allowOverlap="1">
                      <wp:simplePos x="0" y="0"/>
                      <wp:positionH relativeFrom="column">
                        <wp:posOffset>1125855</wp:posOffset>
                      </wp:positionH>
                      <wp:positionV relativeFrom="paragraph">
                        <wp:posOffset>410845</wp:posOffset>
                      </wp:positionV>
                      <wp:extent cx="125095" cy="118745"/>
                      <wp:effectExtent l="0" t="0" r="0" b="0"/>
                      <wp:wrapNone/>
                      <wp:docPr id="8" name="__TH_B1424"/>
                      <wp:cNvGraphicFramePr/>
                      <a:graphic xmlns:a="http://schemas.openxmlformats.org/drawingml/2006/main">
                        <a:graphicData uri="http://schemas.microsoft.com/office/word/2010/wordprocessingShape">
                          <wps:wsp>
                            <wps:cNvSpPr txBox="1"/>
                            <wps:spPr>
                              <a:xfrm>
                                <a:off x="0" y="0"/>
                                <a:ext cx="125095" cy="118745"/>
                              </a:xfrm>
                              <a:prstGeom prst="rect">
                                <a:avLst/>
                              </a:prstGeom>
                              <a:noFill/>
                              <a:ln>
                                <a:noFill/>
                              </a:ln>
                            </wps:spPr>
                            <wps:txbx>
                              <w:txbxContent>
                                <w:p>
                                  <w:pPr>
                                    <w:snapToGrid w:val="0"/>
                                    <w:rPr>
                                      <w:sz w:val="15"/>
                                    </w:rPr>
                                  </w:pPr>
                                  <w:r>
                                    <w:rPr>
                                      <w:rFonts w:hint="eastAsia"/>
                                      <w:sz w:val="15"/>
                                    </w:rPr>
                                    <w:t>型</w:t>
                                  </w:r>
                                </w:p>
                              </w:txbxContent>
                            </wps:txbx>
                            <wps:bodyPr lIns="0" tIns="0" rIns="0" bIns="0" upright="1"/>
                          </wps:wsp>
                        </a:graphicData>
                      </a:graphic>
                    </wp:anchor>
                  </w:drawing>
                </mc:Choice>
                <mc:Fallback>
                  <w:pict>
                    <v:shape id="__TH_B1424" o:spid="_x0000_s1026" o:spt="202" type="#_x0000_t202" style="position:absolute;left:0pt;margin-left:88.65pt;margin-top:32.35pt;height:9.35pt;width:9.85pt;z-index:251665408;mso-width-relative:page;mso-height-relative:page;" filled="f" stroked="f" coordsize="21600,21600" o:gfxdata="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HPUyQDY&#10;AAAACQEAAA8AAAAAAAAAAQAgAAAAIgAAAGRycy9kb3ducmV2LnhtbFBLAQIUABQAAAAIAIdO4kDP&#10;GmtPrgEAAHADAAAOAAAAAAAAAAEAIAAAACcBAABkcnMvZTJvRG9jLnhtbFBLBQYAAAAABgAGAFkB&#10;AABHBQAAAAA=&#10;">
                      <v:fill on="f" focussize="0,0"/>
                      <v:stroke on="f"/>
                      <v:imagedata o:title=""/>
                      <o:lock v:ext="edit" aspectratio="f"/>
                      <v:textbox inset="0mm,0mm,0mm,0mm">
                        <w:txbxContent>
                          <w:p>
                            <w:pPr>
                              <w:snapToGrid w:val="0"/>
                              <w:rPr>
                                <w:sz w:val="15"/>
                              </w:rPr>
                            </w:pPr>
                            <w:r>
                              <w:rPr>
                                <w:rFonts w:hint="eastAsia"/>
                                <w:sz w:val="15"/>
                              </w:rPr>
                              <w:t>型</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4384" behindDoc="0" locked="0" layoutInCell="1" allowOverlap="1">
                      <wp:simplePos x="0" y="0"/>
                      <wp:positionH relativeFrom="column">
                        <wp:posOffset>1066165</wp:posOffset>
                      </wp:positionH>
                      <wp:positionV relativeFrom="paragraph">
                        <wp:posOffset>289560</wp:posOffset>
                      </wp:positionV>
                      <wp:extent cx="125095" cy="119380"/>
                      <wp:effectExtent l="0" t="0" r="0" b="0"/>
                      <wp:wrapNone/>
                      <wp:docPr id="7" name="__TH_B1323"/>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pPr>
                                    <w:snapToGrid w:val="0"/>
                                    <w:rPr>
                                      <w:sz w:val="15"/>
                                    </w:rPr>
                                  </w:pPr>
                                  <w:r>
                                    <w:rPr>
                                      <w:rFonts w:hint="eastAsia"/>
                                      <w:sz w:val="15"/>
                                    </w:rPr>
                                    <w:t>类</w:t>
                                  </w:r>
                                </w:p>
                              </w:txbxContent>
                            </wps:txbx>
                            <wps:bodyPr lIns="0" tIns="0" rIns="0" bIns="0" upright="1"/>
                          </wps:wsp>
                        </a:graphicData>
                      </a:graphic>
                    </wp:anchor>
                  </w:drawing>
                </mc:Choice>
                <mc:Fallback>
                  <w:pict>
                    <v:shape id="__TH_B1323" o:spid="_x0000_s1026" o:spt="202" type="#_x0000_t202" style="position:absolute;left:0pt;margin-left:83.95pt;margin-top:22.8pt;height:9.4pt;width:9.85pt;z-index:251664384;mso-width-relative:page;mso-height-relative:page;" filled="f" stroked="f" coordsize="21600,21600" o:gfxdata="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66lWZ&#10;2AAAAAkBAAAPAAAAAAAAAAEAIAAAACIAAABkcnMvZG93bnJldi54bWxQSwECFAAUAAAACACHTuJA&#10;JHVTQK8BAABwAwAADgAAAAAAAAABACAAAAAnAQAAZHJzL2Uyb0RvYy54bWxQSwUGAAAAAAYABgBZ&#10;AQAASAUAAAAA&#10;">
                      <v:fill on="f" focussize="0,0"/>
                      <v:stroke on="f"/>
                      <v:imagedata o:title=""/>
                      <o:lock v:ext="edit" aspectratio="f"/>
                      <v:textbox inset="0mm,0mm,0mm,0mm">
                        <w:txbxContent>
                          <w:p>
                            <w:pPr>
                              <w:snapToGrid w:val="0"/>
                              <w:rPr>
                                <w:sz w:val="15"/>
                              </w:rPr>
                            </w:pPr>
                            <w:r>
                              <w:rPr>
                                <w:rFonts w:hint="eastAsia"/>
                                <w:sz w:val="15"/>
                              </w:rPr>
                              <w:t>类</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3360" behindDoc="0" locked="0" layoutInCell="1" allowOverlap="1">
                      <wp:simplePos x="0" y="0"/>
                      <wp:positionH relativeFrom="column">
                        <wp:posOffset>1006475</wp:posOffset>
                      </wp:positionH>
                      <wp:positionV relativeFrom="paragraph">
                        <wp:posOffset>168910</wp:posOffset>
                      </wp:positionV>
                      <wp:extent cx="125095" cy="119380"/>
                      <wp:effectExtent l="0" t="0" r="0" b="0"/>
                      <wp:wrapNone/>
                      <wp:docPr id="6" name="__TH_B1222"/>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pPr>
                                    <w:snapToGrid w:val="0"/>
                                    <w:rPr>
                                      <w:sz w:val="15"/>
                                    </w:rPr>
                                  </w:pPr>
                                  <w:r>
                                    <w:rPr>
                                      <w:rFonts w:hint="eastAsia"/>
                                      <w:sz w:val="15"/>
                                    </w:rPr>
                                    <w:t>务</w:t>
                                  </w:r>
                                </w:p>
                              </w:txbxContent>
                            </wps:txbx>
                            <wps:bodyPr lIns="0" tIns="0" rIns="0" bIns="0" upright="1"/>
                          </wps:wsp>
                        </a:graphicData>
                      </a:graphic>
                    </wp:anchor>
                  </w:drawing>
                </mc:Choice>
                <mc:Fallback>
                  <w:pict>
                    <v:shape id="__TH_B1222" o:spid="_x0000_s1026" o:spt="202" type="#_x0000_t202" style="position:absolute;left:0pt;margin-left:79.25pt;margin-top:13.3pt;height:9.4pt;width:9.85pt;z-index:251663360;mso-width-relative:page;mso-height-relative:page;" filled="f" stroked="f" coordsize="21600,21600" o:gfxdata="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jXzaP&#10;2AAAAAkBAAAPAAAAAAAAAAEAIAAAACIAAABkcnMvZG93bnJldi54bWxQSwECFAAUAAAACACHTuJA&#10;SgObSq8BAABwAwAADgAAAAAAAAABACAAAAAnAQAAZHJzL2Uyb0RvYy54bWxQSwUGAAAAAAYABgBZ&#10;AQAASAUAAAAA&#10;">
                      <v:fill on="f" focussize="0,0"/>
                      <v:stroke on="f"/>
                      <v:imagedata o:title=""/>
                      <o:lock v:ext="edit" aspectratio="f"/>
                      <v:textbox inset="0mm,0mm,0mm,0mm">
                        <w:txbxContent>
                          <w:p>
                            <w:pPr>
                              <w:snapToGrid w:val="0"/>
                              <w:rPr>
                                <w:sz w:val="15"/>
                              </w:rPr>
                            </w:pPr>
                            <w:r>
                              <w:rPr>
                                <w:rFonts w:hint="eastAsia"/>
                                <w:sz w:val="15"/>
                              </w:rPr>
                              <w:t>务</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2336" behindDoc="0" locked="0" layoutInCell="1" allowOverlap="1">
                      <wp:simplePos x="0" y="0"/>
                      <wp:positionH relativeFrom="column">
                        <wp:posOffset>946785</wp:posOffset>
                      </wp:positionH>
                      <wp:positionV relativeFrom="paragraph">
                        <wp:posOffset>48260</wp:posOffset>
                      </wp:positionV>
                      <wp:extent cx="125095" cy="119380"/>
                      <wp:effectExtent l="0" t="0" r="0" b="0"/>
                      <wp:wrapNone/>
                      <wp:docPr id="5" name="__TH_B1121"/>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pPr>
                                    <w:snapToGrid w:val="0"/>
                                    <w:rPr>
                                      <w:sz w:val="15"/>
                                    </w:rPr>
                                  </w:pPr>
                                  <w:r>
                                    <w:rPr>
                                      <w:rFonts w:hint="eastAsia"/>
                                      <w:sz w:val="15"/>
                                    </w:rPr>
                                    <w:t>服</w:t>
                                  </w:r>
                                </w:p>
                              </w:txbxContent>
                            </wps:txbx>
                            <wps:bodyPr lIns="0" tIns="0" rIns="0" bIns="0" upright="1"/>
                          </wps:wsp>
                        </a:graphicData>
                      </a:graphic>
                    </wp:anchor>
                  </w:drawing>
                </mc:Choice>
                <mc:Fallback>
                  <w:pict>
                    <v:shape id="__TH_B1121" o:spid="_x0000_s1026" o:spt="202" type="#_x0000_t202" style="position:absolute;left:0pt;margin-left:74.55pt;margin-top:3.8pt;height:9.4pt;width:9.85pt;z-index:251662336;mso-width-relative:page;mso-height-relative:page;" filled="f" stroked="f" coordsize="21600,21600" o:gfxdata="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MdkqP9cA&#10;AAAIAQAADwAAAAAAAAABACAAAAAiAAAAZHJzL2Rvd25yZXYueG1sUEsBAhQAFAAAAAgAh07iQPiZ&#10;w1WuAQAAcAMAAA4AAAAAAAAAAQAgAAAAJgEAAGRycy9lMm9Eb2MueG1sUEsFBgAAAAAGAAYAWQEA&#10;AEYFAAAAAA==&#10;">
                      <v:fill on="f" focussize="0,0"/>
                      <v:stroke on="f"/>
                      <v:imagedata o:title=""/>
                      <o:lock v:ext="edit" aspectratio="f"/>
                      <v:textbox inset="0mm,0mm,0mm,0mm">
                        <w:txbxContent>
                          <w:p>
                            <w:pPr>
                              <w:snapToGrid w:val="0"/>
                              <w:rPr>
                                <w:sz w:val="15"/>
                              </w:rPr>
                            </w:pPr>
                            <w:r>
                              <w:rPr>
                                <w:rFonts w:hint="eastAsia"/>
                                <w:sz w:val="15"/>
                              </w:rPr>
                              <w:t>服</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1312" behindDoc="0" locked="0" layoutInCell="1" allowOverlap="1">
                      <wp:simplePos x="0" y="0"/>
                      <wp:positionH relativeFrom="column">
                        <wp:posOffset>-65405</wp:posOffset>
                      </wp:positionH>
                      <wp:positionV relativeFrom="paragraph">
                        <wp:posOffset>340995</wp:posOffset>
                      </wp:positionV>
                      <wp:extent cx="1346200" cy="340360"/>
                      <wp:effectExtent l="1270" t="4445" r="5080" b="17145"/>
                      <wp:wrapNone/>
                      <wp:docPr id="4" name="__TH_L20"/>
                      <wp:cNvGraphicFramePr/>
                      <a:graphic xmlns:a="http://schemas.openxmlformats.org/drawingml/2006/main">
                        <a:graphicData uri="http://schemas.microsoft.com/office/word/2010/wordprocessingShape">
                          <wps:wsp>
                            <wps:cNvCnPr/>
                            <wps:spPr>
                              <a:xfrm>
                                <a:off x="0" y="0"/>
                                <a:ext cx="1346200" cy="340360"/>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_TH_L20" o:spid="_x0000_s1026" o:spt="20" style="position:absolute;left:0pt;margin-left:-5.15pt;margin-top:26.85pt;height:26.8pt;width:106pt;z-index:251661312;mso-width-relative:page;mso-height-relative:page;" filled="f" stroked="t" coordsize="21600,21600" o:gfxdata="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bqAALWAAAACgEAAA8AAAAAAAAA&#10;AQAgAAAAIgAAAGRycy9kb3ducmV2LnhtbFBLAQIUABQAAAAIAIdO4kCJ8Kux2gEAANQDAAAOAAAA&#10;AAAAAAEAIAAAACUBAABkcnMvZTJvRG9jLnhtbFBLBQYAAAAABgAGAFkBAABxBQAAAAA=&#10;">
                      <v:fill on="f" focussize="0,0"/>
                      <v:stroke weight="0.5pt" color="#000000" joinstyle="round"/>
                      <v:imagedata o:title=""/>
                      <o:lock v:ext="edit" aspectratio="f"/>
                    </v:line>
                  </w:pict>
                </mc:Fallback>
              </mc:AlternateContent>
            </w:r>
            <w:r>
              <w:rPr>
                <w:rFonts w:asciiTheme="minorEastAsia" w:hAnsiTheme="minorEastAsia" w:eastAsiaTheme="minorEastAsia"/>
              </w:rPr>
              <mc:AlternateContent>
                <mc:Choice Requires="wps">
                  <w:drawing>
                    <wp:anchor distT="0" distB="0" distL="114300" distR="114300" simplePos="0" relativeHeight="251660288" behindDoc="0" locked="0" layoutInCell="1" allowOverlap="1">
                      <wp:simplePos x="0" y="0"/>
                      <wp:positionH relativeFrom="column">
                        <wp:posOffset>607695</wp:posOffset>
                      </wp:positionH>
                      <wp:positionV relativeFrom="paragraph">
                        <wp:posOffset>0</wp:posOffset>
                      </wp:positionV>
                      <wp:extent cx="673100" cy="681355"/>
                      <wp:effectExtent l="3175" t="3175" r="9525" b="20320"/>
                      <wp:wrapNone/>
                      <wp:docPr id="3" name="__TH_L19"/>
                      <wp:cNvGraphicFramePr/>
                      <a:graphic xmlns:a="http://schemas.openxmlformats.org/drawingml/2006/main">
                        <a:graphicData uri="http://schemas.microsoft.com/office/word/2010/wordprocessingShape">
                          <wps:wsp>
                            <wps:cNvCnPr/>
                            <wps:spPr>
                              <a:xfrm>
                                <a:off x="0" y="0"/>
                                <a:ext cx="673100" cy="681355"/>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_TH_L19" o:spid="_x0000_s1026" o:spt="20" style="position:absolute;left:0pt;margin-left:47.85pt;margin-top:0pt;height:53.65pt;width:53pt;z-index:251660288;mso-width-relative:page;mso-height-relative:page;" filled="f" stroked="t" coordsize="21600,21600" o:gfxdata="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3G1tN0wAAAAcBAAAPAAAAAAAAAAEAIAAA&#10;ACIAAABkcnMvZG93bnJldi54bWxQSwECFAAUAAAACACHTuJApcUzW9gBAADTAwAADgAAAAAAAAAB&#10;ACAAAAAiAQAAZHJzL2Uyb0RvYy54bWxQSwUGAAAAAAYABgBZAQAAbAUAAAAA&#10;">
                      <v:fill on="f" focussize="0,0"/>
                      <v:stroke weight="0.5pt" color="#000000" joinstyle="round"/>
                      <v:imagedata o:title=""/>
                      <o:lock v:ext="edit" aspectratio="f"/>
                    </v:line>
                  </w:pict>
                </mc:Fallback>
              </mc:AlternateContent>
            </w:r>
          </w:p>
        </w:tc>
        <w:tc>
          <w:tcPr>
            <w:tcW w:w="1897" w:type="dxa"/>
            <w:tcBorders>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工程招标</w:t>
            </w:r>
          </w:p>
        </w:tc>
        <w:tc>
          <w:tcPr>
            <w:tcW w:w="1898" w:type="dxa"/>
            <w:tcBorders>
              <w:left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货物招标</w:t>
            </w:r>
          </w:p>
        </w:tc>
        <w:tc>
          <w:tcPr>
            <w:tcW w:w="1898" w:type="dxa"/>
            <w:tcBorders>
              <w:lef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服务招标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1.00%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100-500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0.70%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1.10%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500-1000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0.45%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1000-5000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0.35%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5000-10000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10000-100000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100000以上</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注：1、中标服务费按差额定率累进法计算。例如：某服务类项目中标金额为1000万元，计算中标服务费如下：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（500-100）万元×0.8%=3.2万元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（1000-500）×0.45%=2.25万元</w:t>
      </w:r>
    </w:p>
    <w:p>
      <w:pPr>
        <w:adjustRightInd w:val="0"/>
        <w:snapToGrid w:val="0"/>
        <w:spacing w:line="300" w:lineRule="auto"/>
        <w:ind w:left="424" w:leftChars="202"/>
        <w:rPr>
          <w:rFonts w:asciiTheme="minorEastAsia" w:hAnsiTheme="minorEastAsia" w:eastAsiaTheme="minorEastAsia"/>
          <w:snapToGrid w:val="0"/>
          <w:kern w:val="0"/>
          <w:sz w:val="24"/>
        </w:rPr>
      </w:pPr>
      <w:r>
        <w:rPr>
          <w:rFonts w:hint="eastAsia" w:asciiTheme="minorEastAsia" w:hAnsiTheme="minorEastAsia" w:eastAsiaTheme="minorEastAsia"/>
        </w:rPr>
        <w:t>合计收费=1.5+3.2+2.25＝6.95（万元）</w:t>
      </w:r>
    </w:p>
    <w:p>
      <w:pPr>
        <w:jc w:val="center"/>
        <w:rPr>
          <w:b/>
          <w:sz w:val="52"/>
          <w:szCs w:val="52"/>
        </w:rPr>
      </w:pPr>
    </w:p>
    <w:p/>
    <w:p/>
    <w:p/>
    <w:p/>
    <w:p/>
    <w:p/>
    <w:p/>
    <w:p/>
    <w:p/>
    <w:p/>
    <w:p/>
    <w:p/>
    <w:p/>
    <w:p/>
    <w:p/>
    <w:p>
      <w:pPr>
        <w:widowControl/>
        <w:jc w:val="left"/>
      </w:pPr>
      <w:r>
        <w:br w:type="page"/>
      </w:r>
    </w:p>
    <w:p/>
    <w:p>
      <w:pPr>
        <w:pStyle w:val="3"/>
      </w:pPr>
      <w:bookmarkStart w:id="40" w:name="_Toc22491"/>
      <w:r>
        <w:rPr>
          <w:rFonts w:hint="eastAsia"/>
        </w:rPr>
        <w:t>第七章  投标文件格式</w:t>
      </w:r>
      <w:bookmarkEnd w:id="40"/>
    </w:p>
    <w:p>
      <w:pPr>
        <w:jc w:val="center"/>
        <w:rPr>
          <w:b/>
          <w:sz w:val="52"/>
          <w:szCs w:val="52"/>
        </w:rPr>
      </w:pPr>
    </w:p>
    <w:p>
      <w:pPr>
        <w:pStyle w:val="4"/>
        <w:spacing w:line="400" w:lineRule="exact"/>
        <w:rPr>
          <w:rFonts w:ascii="仿宋" w:hAnsi="仿宋" w:eastAsia="仿宋"/>
        </w:rPr>
      </w:pPr>
      <w:bookmarkStart w:id="41" w:name="_Toc44690431"/>
      <w:bookmarkStart w:id="42" w:name="_Toc31468"/>
      <w:bookmarkStart w:id="43" w:name="_Toc11772"/>
      <w:bookmarkStart w:id="44" w:name="_Toc25194"/>
      <w:bookmarkStart w:id="45" w:name="_Toc14934"/>
      <w:bookmarkStart w:id="46" w:name="_Toc11042"/>
      <w:bookmarkStart w:id="47" w:name="_Toc44691163"/>
      <w:bookmarkStart w:id="48" w:name="_Toc44690704"/>
      <w:bookmarkStart w:id="49" w:name="_Toc44691395"/>
      <w:r>
        <w:rPr>
          <w:rFonts w:hint="eastAsia" w:ascii="仿宋" w:hAnsi="仿宋" w:eastAsia="仿宋"/>
        </w:rPr>
        <w:t>投标文件编制说明</w:t>
      </w:r>
      <w:bookmarkEnd w:id="41"/>
      <w:bookmarkEnd w:id="42"/>
      <w:bookmarkEnd w:id="43"/>
      <w:bookmarkEnd w:id="44"/>
      <w:bookmarkEnd w:id="45"/>
      <w:bookmarkEnd w:id="46"/>
      <w:bookmarkEnd w:id="47"/>
      <w:bookmarkEnd w:id="48"/>
      <w:bookmarkEnd w:id="49"/>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法定代表人证明书、法定代表人授权委托证明书和开标一览表（封包2）。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投标文件中，复印件或扫描件应加盖公章。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3.4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sz w:val="24"/>
          <w:u w:val="single"/>
        </w:rPr>
        <w:t xml:space="preserve">                                      </w:t>
      </w:r>
    </w:p>
    <w:p>
      <w:pPr>
        <w:spacing w:line="480" w:lineRule="auto"/>
        <w:ind w:firstLine="1275"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5" w:firstLineChars="529"/>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rPr>
          <w:b/>
          <w:bCs/>
        </w:rPr>
      </w:pPr>
    </w:p>
    <w:p>
      <w:pPr>
        <w:rPr>
          <w:b/>
          <w:bCs/>
        </w:rPr>
      </w:pPr>
      <w:bookmarkStart w:id="50" w:name="_投标文件格式（第一册）"/>
      <w:bookmarkEnd w:id="50"/>
      <w:bookmarkStart w:id="51" w:name="q0"/>
      <w:r>
        <w:rPr>
          <w:rFonts w:ascii="仿宋" w:hAnsi="仿宋" w:eastAsia="仿宋"/>
        </w:rPr>
        <w:br w:type="page"/>
      </w:r>
    </w:p>
    <w:p>
      <w:pPr>
        <w:pStyle w:val="4"/>
        <w:spacing w:line="400" w:lineRule="exact"/>
        <w:rPr>
          <w:rFonts w:ascii="仿宋" w:hAnsi="仿宋" w:eastAsia="仿宋"/>
        </w:rPr>
      </w:pPr>
    </w:p>
    <w:p>
      <w:pPr>
        <w:pStyle w:val="4"/>
        <w:spacing w:line="400" w:lineRule="exact"/>
        <w:rPr>
          <w:rFonts w:ascii="仿宋" w:hAnsi="仿宋" w:eastAsia="仿宋"/>
        </w:rPr>
      </w:pPr>
      <w:bookmarkStart w:id="52" w:name="_Toc16438"/>
      <w:r>
        <w:rPr>
          <w:rFonts w:hint="eastAsia" w:ascii="仿宋" w:hAnsi="仿宋" w:eastAsia="仿宋"/>
        </w:rPr>
        <w:t>投标文件格式</w:t>
      </w:r>
      <w:bookmarkEnd w:id="52"/>
    </w:p>
    <w:bookmarkEnd w:id="51"/>
    <w:p>
      <w:pPr>
        <w:numPr>
          <w:ilvl w:val="0"/>
          <w:numId w:val="5"/>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目录（自拟）</w:t>
      </w:r>
    </w:p>
    <w:p>
      <w:pPr>
        <w:numPr>
          <w:ilvl w:val="0"/>
          <w:numId w:val="5"/>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评标指引表</w:t>
      </w:r>
    </w:p>
    <w:p>
      <w:pPr>
        <w:numPr>
          <w:ilvl w:val="0"/>
          <w:numId w:val="5"/>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投标人资格证明文件（格式1）</w:t>
      </w:r>
    </w:p>
    <w:p>
      <w:pPr>
        <w:numPr>
          <w:ilvl w:val="0"/>
          <w:numId w:val="5"/>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投标函（格式2）</w:t>
      </w:r>
    </w:p>
    <w:p>
      <w:pPr>
        <w:numPr>
          <w:ilvl w:val="0"/>
          <w:numId w:val="5"/>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评分中涉及的承诺及声明函（格式3）</w:t>
      </w:r>
    </w:p>
    <w:p>
      <w:pPr>
        <w:numPr>
          <w:ilvl w:val="0"/>
          <w:numId w:val="5"/>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开标一览表（格式4）</w:t>
      </w:r>
    </w:p>
    <w:p>
      <w:pPr>
        <w:adjustRightInd w:val="0"/>
        <w:spacing w:line="360" w:lineRule="auto"/>
        <w:ind w:firstLine="422" w:firstLineChars="200"/>
        <w:rPr>
          <w:rFonts w:asciiTheme="minorEastAsia" w:hAnsiTheme="minorEastAsia" w:eastAsiaTheme="minorEastAsia"/>
          <w:b/>
          <w:bCs/>
          <w:snapToGrid w:val="0"/>
          <w:kern w:val="0"/>
          <w:szCs w:val="21"/>
        </w:rPr>
      </w:pPr>
      <w:r>
        <w:rPr>
          <w:rFonts w:hint="eastAsia" w:asciiTheme="minorEastAsia" w:hAnsiTheme="minorEastAsia" w:eastAsiaTheme="minorEastAsia"/>
          <w:b/>
          <w:snapToGrid w:val="0"/>
          <w:kern w:val="0"/>
          <w:szCs w:val="21"/>
        </w:rPr>
        <w:t>注：此表应与“法定代表人证明书、法定代表人授权委托证明书”一起密封于一信封，在递交投标文件时单独交与</w:t>
      </w:r>
      <w:r>
        <w:rPr>
          <w:rFonts w:hint="eastAsia" w:asciiTheme="minorEastAsia" w:hAnsiTheme="minorEastAsia" w:eastAsiaTheme="minorEastAsia"/>
          <w:b/>
          <w:bCs/>
          <w:snapToGrid w:val="0"/>
          <w:kern w:val="0"/>
          <w:szCs w:val="21"/>
        </w:rPr>
        <w:t>招标代理机构。</w:t>
      </w:r>
    </w:p>
    <w:p>
      <w:pPr>
        <w:numPr>
          <w:ilvl w:val="0"/>
          <w:numId w:val="5"/>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报价表（格式5）</w:t>
      </w:r>
    </w:p>
    <w:p>
      <w:pPr>
        <w:pStyle w:val="455"/>
        <w:numPr>
          <w:ilvl w:val="0"/>
          <w:numId w:val="5"/>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服务方案</w:t>
      </w:r>
      <w:r>
        <w:rPr>
          <w:rFonts w:asciiTheme="minorEastAsia" w:hAnsiTheme="minorEastAsia" w:eastAsiaTheme="minorEastAsia"/>
          <w:snapToGrid w:val="0"/>
          <w:kern w:val="0"/>
          <w:szCs w:val="21"/>
        </w:rPr>
        <w:t>（格式</w:t>
      </w:r>
      <w:r>
        <w:rPr>
          <w:rFonts w:hint="eastAsia" w:asciiTheme="minorEastAsia" w:hAnsiTheme="minorEastAsia" w:eastAsiaTheme="minorEastAsia"/>
          <w:snapToGrid w:val="0"/>
          <w:kern w:val="0"/>
          <w:szCs w:val="21"/>
        </w:rPr>
        <w:t>6</w:t>
      </w:r>
      <w:r>
        <w:rPr>
          <w:rFonts w:asciiTheme="minorEastAsia" w:hAnsiTheme="minorEastAsia" w:eastAsiaTheme="minorEastAsia"/>
          <w:snapToGrid w:val="0"/>
          <w:kern w:val="0"/>
          <w:szCs w:val="21"/>
        </w:rPr>
        <w:t>）</w:t>
      </w:r>
    </w:p>
    <w:p>
      <w:pPr>
        <w:pStyle w:val="455"/>
        <w:numPr>
          <w:ilvl w:val="0"/>
          <w:numId w:val="5"/>
        </w:numPr>
        <w:adjustRightInd w:val="0"/>
        <w:spacing w:line="360" w:lineRule="auto"/>
        <w:ind w:firstLineChars="0"/>
        <w:rPr>
          <w:rFonts w:asciiTheme="minorEastAsia" w:hAnsiTheme="minorEastAsia" w:eastAsiaTheme="minorEastAsia"/>
          <w:snapToGrid w:val="0"/>
          <w:kern w:val="0"/>
        </w:rPr>
      </w:pPr>
      <w:r>
        <w:rPr>
          <w:rFonts w:asciiTheme="minorEastAsia" w:hAnsiTheme="minorEastAsia" w:eastAsiaTheme="minorEastAsia"/>
          <w:snapToGrid w:val="0"/>
          <w:kern w:val="0"/>
        </w:rPr>
        <w:t>投标人资格</w:t>
      </w:r>
      <w:r>
        <w:rPr>
          <w:rFonts w:hint="eastAsia" w:asciiTheme="minorEastAsia" w:hAnsiTheme="minorEastAsia" w:eastAsiaTheme="minorEastAsia"/>
          <w:snapToGrid w:val="0"/>
          <w:kern w:val="0"/>
        </w:rPr>
        <w:t>声</w:t>
      </w:r>
      <w:r>
        <w:rPr>
          <w:rFonts w:asciiTheme="minorEastAsia" w:hAnsiTheme="minorEastAsia" w:eastAsiaTheme="minorEastAsia"/>
          <w:snapToGrid w:val="0"/>
          <w:kern w:val="0"/>
        </w:rPr>
        <w:t>明</w:t>
      </w:r>
      <w:r>
        <w:rPr>
          <w:rFonts w:hint="eastAsia" w:asciiTheme="minorEastAsia" w:hAnsiTheme="minorEastAsia" w:eastAsiaTheme="minorEastAsia"/>
          <w:snapToGrid w:val="0"/>
          <w:kern w:val="0"/>
        </w:rPr>
        <w:t>（</w:t>
      </w:r>
      <w:r>
        <w:rPr>
          <w:rFonts w:asciiTheme="minorEastAsia" w:hAnsiTheme="minorEastAsia" w:eastAsiaTheme="minorEastAsia"/>
          <w:snapToGrid w:val="0"/>
          <w:kern w:val="0"/>
        </w:rPr>
        <w:t>格式</w:t>
      </w: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w:t>
      </w:r>
    </w:p>
    <w:p>
      <w:pPr>
        <w:pStyle w:val="455"/>
        <w:numPr>
          <w:ilvl w:val="0"/>
          <w:numId w:val="5"/>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偏离</w:t>
      </w:r>
      <w:r>
        <w:rPr>
          <w:rFonts w:asciiTheme="minorEastAsia" w:hAnsiTheme="minorEastAsia" w:eastAsiaTheme="minorEastAsia"/>
          <w:snapToGrid w:val="0"/>
          <w:kern w:val="0"/>
          <w:szCs w:val="21"/>
        </w:rPr>
        <w:t>表（格式</w:t>
      </w:r>
      <w:r>
        <w:rPr>
          <w:rFonts w:hint="eastAsia" w:asciiTheme="minorEastAsia" w:hAnsiTheme="minorEastAsia" w:eastAsiaTheme="minorEastAsia"/>
          <w:snapToGrid w:val="0"/>
          <w:kern w:val="0"/>
          <w:szCs w:val="21"/>
        </w:rPr>
        <w:t>8</w:t>
      </w:r>
      <w:r>
        <w:rPr>
          <w:rFonts w:asciiTheme="minorEastAsia" w:hAnsiTheme="minorEastAsia" w:eastAsiaTheme="minorEastAsia"/>
          <w:snapToGrid w:val="0"/>
          <w:kern w:val="0"/>
          <w:szCs w:val="21"/>
        </w:rPr>
        <w:t>）</w:t>
      </w:r>
    </w:p>
    <w:p>
      <w:pPr>
        <w:pStyle w:val="455"/>
        <w:adjustRightInd w:val="0"/>
        <w:spacing w:line="360" w:lineRule="auto"/>
        <w:ind w:firstLine="0"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十一、招标文件要求的其他资料或投标人认为需要补充的资料</w:t>
      </w:r>
      <w:r>
        <w:rPr>
          <w:rFonts w:hint="eastAsia" w:asciiTheme="minorEastAsia" w:hAnsiTheme="minorEastAsia" w:eastAsiaTheme="minorEastAsia"/>
          <w:snapToGrid w:val="0"/>
          <w:kern w:val="0"/>
          <w:szCs w:val="21"/>
        </w:rPr>
        <w:t>（格式9）</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53" w:name="_格式1__投标人资格证明文件"/>
      <w:bookmarkEnd w:id="53"/>
      <w:r>
        <w:br w:type="page"/>
      </w:r>
    </w:p>
    <w:p>
      <w:pPr>
        <w:adjustRightInd w:val="0"/>
        <w:snapToGrid w:val="0"/>
        <w:spacing w:line="300" w:lineRule="auto"/>
        <w:jc w:val="center"/>
      </w:pPr>
    </w:p>
    <w:p>
      <w:pPr>
        <w:pStyle w:val="4"/>
        <w:spacing w:line="400" w:lineRule="exact"/>
        <w:rPr>
          <w:rFonts w:ascii="仿宋" w:hAnsi="仿宋" w:eastAsia="仿宋"/>
        </w:rPr>
      </w:pPr>
      <w:bookmarkStart w:id="54" w:name="_Toc73613640"/>
      <w:bookmarkStart w:id="55" w:name="_Toc5039"/>
      <w:r>
        <w:rPr>
          <w:rFonts w:hint="eastAsia" w:ascii="仿宋" w:hAnsi="仿宋" w:eastAsia="仿宋"/>
        </w:rPr>
        <w:t>评标指引表</w:t>
      </w:r>
      <w:bookmarkEnd w:id="54"/>
      <w:bookmarkEnd w:id="55"/>
    </w:p>
    <w:p>
      <w:pPr>
        <w:jc w:val="center"/>
        <w:rPr>
          <w:b/>
          <w:szCs w:val="21"/>
        </w:rPr>
      </w:pPr>
    </w:p>
    <w:p>
      <w:pPr>
        <w:spacing w:line="360" w:lineRule="auto"/>
        <w:ind w:firstLine="420" w:firstLineChars="200"/>
        <w:rPr>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exact"/>
        <w:rPr>
          <w:b/>
          <w:szCs w:val="21"/>
        </w:rPr>
      </w:pPr>
      <w:r>
        <w:rPr>
          <w:b/>
          <w:szCs w:val="21"/>
        </w:rPr>
        <w:t xml:space="preserve"> </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188"/>
        <w:gridCol w:w="2835"/>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综合评分指引（参见第四章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188"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评分项目</w:t>
            </w:r>
          </w:p>
        </w:tc>
        <w:tc>
          <w:tcPr>
            <w:tcW w:w="2835"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价格标</w:t>
            </w:r>
          </w:p>
        </w:tc>
        <w:tc>
          <w:tcPr>
            <w:tcW w:w="4188" w:type="dxa"/>
            <w:vAlign w:val="center"/>
          </w:tcPr>
          <w:p>
            <w:pPr>
              <w:rPr>
                <w:rFonts w:asciiTheme="minorEastAsia" w:hAnsiTheme="minorEastAsia" w:eastAsiaTheme="minorEastAsia"/>
              </w:rPr>
            </w:pP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w:t>
            </w:r>
            <w:r>
              <w:rPr>
                <w:rFonts w:hint="eastAsia" w:asciiTheme="minorEastAsia" w:hAnsiTheme="minorEastAsia" w:eastAsiaTheme="minorEastAsia"/>
                <w:bCs/>
                <w:szCs w:val="21"/>
              </w:rPr>
              <w:t>优惠政策。</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技术标</w:t>
            </w:r>
          </w:p>
        </w:tc>
        <w:tc>
          <w:tcPr>
            <w:tcW w:w="4188" w:type="dxa"/>
          </w:tcPr>
          <w:p>
            <w:pPr>
              <w:spacing w:line="360" w:lineRule="exact"/>
              <w:jc w:val="center"/>
              <w:rPr>
                <w:rFonts w:ascii="宋体" w:hAnsi="宋体"/>
                <w:szCs w:val="21"/>
              </w:rPr>
            </w:pPr>
            <w:r>
              <w:rPr>
                <w:rFonts w:hint="eastAsia" w:ascii="宋体" w:hAnsi="宋体"/>
                <w:szCs w:val="21"/>
              </w:rPr>
              <w:t>1.……</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2.……</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商务标</w:t>
            </w:r>
          </w:p>
        </w:tc>
        <w:tc>
          <w:tcPr>
            <w:tcW w:w="4188" w:type="dxa"/>
          </w:tcPr>
          <w:p>
            <w:pPr>
              <w:spacing w:line="360" w:lineRule="exact"/>
              <w:jc w:val="center"/>
              <w:rPr>
                <w:rFonts w:ascii="宋体" w:hAnsi="宋体"/>
                <w:szCs w:val="21"/>
              </w:rPr>
            </w:pPr>
            <w:r>
              <w:rPr>
                <w:rFonts w:hint="eastAsia" w:ascii="宋体" w:hAnsi="宋体"/>
                <w:szCs w:val="21"/>
              </w:rPr>
              <w:t>1.……</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2.……</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pStyle w:val="26"/>
        <w:spacing w:line="360" w:lineRule="auto"/>
        <w:rPr>
          <w:rFonts w:hAnsi="宋体"/>
          <w:b/>
          <w:szCs w:val="21"/>
        </w:rPr>
      </w:pPr>
    </w:p>
    <w:p>
      <w:pPr>
        <w:pStyle w:val="26"/>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pStyle w:val="5"/>
        <w:jc w:val="center"/>
      </w:pPr>
    </w:p>
    <w:p/>
    <w:p/>
    <w:p/>
    <w:p/>
    <w:p/>
    <w:p/>
    <w:p/>
    <w:p/>
    <w:p/>
    <w:p/>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bookmarkStart w:id="56" w:name="_Toc44691396"/>
      <w:bookmarkStart w:id="57" w:name="_Toc44691164"/>
      <w:bookmarkStart w:id="58" w:name="_Toc44690705"/>
      <w:bookmarkStart w:id="59" w:name="_Toc44690432"/>
      <w:r>
        <w:rPr>
          <w:rFonts w:hint="eastAsia" w:asciiTheme="minorEastAsia" w:hAnsiTheme="minorEastAsia" w:eastAsiaTheme="minorEastAsia"/>
          <w:sz w:val="24"/>
        </w:rPr>
        <w:t>格式1  投标人资格证明文件</w:t>
      </w:r>
      <w:bookmarkEnd w:id="56"/>
      <w:bookmarkEnd w:id="57"/>
      <w:bookmarkEnd w:id="58"/>
      <w:bookmarkEnd w:id="59"/>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r>
        <w:rPr>
          <w:rFonts w:hint="eastAsia" w:ascii="宋体" w:hAnsi="宋体"/>
        </w:rPr>
        <w:t>（详见格式《政府采购投标及履约承诺函》）</w:t>
      </w:r>
    </w:p>
    <w:p>
      <w:pPr>
        <w:adjustRightInd w:val="0"/>
        <w:snapToGrid w:val="0"/>
        <w:spacing w:line="360" w:lineRule="auto"/>
        <w:ind w:firstLine="424" w:firstLineChars="202"/>
        <w:rPr>
          <w:rFonts w:ascii="宋体" w:hAnsi="宋体"/>
        </w:rPr>
      </w:pPr>
      <w:r>
        <w:rPr>
          <w:rFonts w:hint="eastAsia" w:ascii="宋体" w:hAnsi="宋体"/>
        </w:rPr>
        <w:t>3、其它资格证明材料（按第一章投标邀请“申请人的资格要求”提供）</w:t>
      </w:r>
    </w:p>
    <w:p>
      <w:pPr>
        <w:adjustRightInd w:val="0"/>
        <w:snapToGrid w:val="0"/>
        <w:spacing w:line="360" w:lineRule="auto"/>
        <w:ind w:firstLine="424" w:firstLineChars="202"/>
        <w:rPr>
          <w:rFonts w:ascii="宋体" w:hAnsi="宋体"/>
          <w:bCs/>
          <w:snapToGrid w:val="0"/>
          <w:kern w:val="0"/>
        </w:rPr>
      </w:pPr>
    </w:p>
    <w:p>
      <w:pPr>
        <w:adjustRightInd w:val="0"/>
        <w:snapToGrid w:val="0"/>
        <w:spacing w:line="360" w:lineRule="auto"/>
        <w:ind w:firstLine="426" w:firstLineChars="202"/>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widowControl/>
        <w:jc w:val="left"/>
        <w:rPr>
          <w:b/>
          <w:snapToGrid w:val="0"/>
          <w:sz w:val="32"/>
          <w:szCs w:val="32"/>
        </w:rPr>
      </w:pPr>
      <w:r>
        <w:rPr>
          <w:b/>
          <w:snapToGrid w:val="0"/>
          <w:sz w:val="32"/>
          <w:szCs w:val="32"/>
        </w:rPr>
        <w:br w:type="page"/>
      </w:r>
    </w:p>
    <w:p>
      <w:pPr>
        <w:tabs>
          <w:tab w:val="left" w:pos="555"/>
        </w:tabs>
        <w:adjustRightInd w:val="0"/>
        <w:snapToGrid w:val="0"/>
        <w:spacing w:line="300" w:lineRule="auto"/>
        <w:rPr>
          <w:b/>
          <w:snapToGrid w:val="0"/>
          <w:sz w:val="32"/>
          <w:szCs w:val="32"/>
        </w:rPr>
      </w:pPr>
      <w:r>
        <w:rPr>
          <w:b/>
          <w:snapToGrid w:val="0"/>
          <w:sz w:val="32"/>
          <w:szCs w:val="32"/>
        </w:rPr>
        <w:tab/>
      </w:r>
    </w:p>
    <w:p>
      <w:pPr>
        <w:adjustRightInd w:val="0"/>
        <w:spacing w:line="300" w:lineRule="auto"/>
        <w:ind w:hanging="2"/>
        <w:jc w:val="center"/>
      </w:pPr>
      <w:r>
        <w:rPr>
          <w:rFonts w:hint="eastAsia"/>
          <w:b/>
          <w:snapToGrid w:val="0"/>
          <w:kern w:val="0"/>
          <w:sz w:val="28"/>
        </w:rPr>
        <w:t>政府采购投标及履约承诺函</w:t>
      </w:r>
    </w:p>
    <w:p>
      <w:pPr>
        <w:spacing w:line="360" w:lineRule="auto"/>
        <w:rPr>
          <w:rFonts w:ascii="宋体" w:hAnsi="宋体" w:cs="Courier New"/>
          <w:snapToGrid w:val="0"/>
          <w:szCs w:val="18"/>
        </w:rPr>
      </w:pP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1.我单位满足《中华人民共和国政府采购法》第二十二条规定的条件。</w:t>
      </w:r>
    </w:p>
    <w:p>
      <w:pPr>
        <w:spacing w:line="400" w:lineRule="exact"/>
        <w:ind w:firstLine="420" w:firstLineChars="200"/>
        <w:rPr>
          <w:rFonts w:ascii="宋体" w:hAnsi="宋体"/>
          <w:szCs w:val="21"/>
        </w:rPr>
      </w:pPr>
      <w:r>
        <w:rPr>
          <w:rFonts w:hint="eastAsia" w:ascii="宋体" w:hAnsi="宋体"/>
          <w:szCs w:val="21"/>
        </w:rPr>
        <w:t>2.我单位参与本项目投标前三年内，在经营活动中没有重大违法记录。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6.我单位参与该项目投标，严格遵循公平竞争的原则，不恶意串通，不妨碍其他投标人的竞争行为，不损害采购人或者其他投标人的合法权益。我单位已清楚，如违反上述要求，将作投标无效处理。</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Pr>
        <w:widowControl/>
        <w:jc w:val="left"/>
      </w:pPr>
    </w:p>
    <w:p>
      <w:pPr>
        <w:adjustRightInd w:val="0"/>
        <w:snapToGrid w:val="0"/>
        <w:spacing w:line="360" w:lineRule="auto"/>
        <w:ind w:firstLine="600"/>
        <w:jc w:val="right"/>
      </w:pPr>
    </w:p>
    <w:p>
      <w:pPr>
        <w:pStyle w:val="5"/>
        <w:spacing w:before="0" w:after="0" w:line="360" w:lineRule="auto"/>
        <w:jc w:val="center"/>
        <w:rPr>
          <w:rFonts w:asciiTheme="minorEastAsia" w:hAnsiTheme="minorEastAsia"/>
          <w:kern w:val="0"/>
          <w:sz w:val="28"/>
          <w:szCs w:val="28"/>
        </w:rPr>
      </w:pPr>
      <w:bookmarkStart w:id="60" w:name="_Toc25302"/>
      <w:bookmarkStart w:id="61" w:name="_Toc73613641"/>
      <w:r>
        <w:rPr>
          <w:rFonts w:hint="eastAsia" w:asciiTheme="minorEastAsia" w:hAnsiTheme="minorEastAsia"/>
          <w:kern w:val="0"/>
          <w:sz w:val="28"/>
          <w:szCs w:val="28"/>
        </w:rPr>
        <w:t>股东构成审查表</w:t>
      </w:r>
      <w:bookmarkEnd w:id="60"/>
      <w:bookmarkEnd w:id="61"/>
    </w:p>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napToGrid w:val="0"/>
          <w:szCs w:val="21"/>
        </w:rPr>
        <w:t>项目</w:t>
      </w:r>
      <w:r>
        <w:rPr>
          <w:rFonts w:hint="eastAsia" w:asciiTheme="minorEastAsia" w:hAnsiTheme="minorEastAsia" w:eastAsiaTheme="minorEastAsia"/>
          <w:szCs w:val="21"/>
        </w:rPr>
        <w:t>名称：</w:t>
      </w:r>
      <w:r>
        <w:rPr>
          <w:rFonts w:hint="eastAsia" w:asciiTheme="minorEastAsia" w:hAnsiTheme="minorEastAsia" w:eastAsiaTheme="minorEastAsia"/>
          <w:szCs w:val="21"/>
          <w:u w:val="single"/>
        </w:rPr>
        <w:t xml:space="preserve">                </w:t>
      </w:r>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zCs w:val="21"/>
        </w:rPr>
        <w:t>项目编号：</w:t>
      </w:r>
      <w:r>
        <w:rPr>
          <w:rFonts w:hint="eastAsia" w:asciiTheme="minorEastAsia" w:hAnsiTheme="minorEastAsia" w:eastAsiaTheme="minorEastAsia"/>
          <w:szCs w:val="21"/>
          <w:u w:val="single"/>
        </w:rPr>
        <w:t xml:space="preserve">                </w:t>
      </w:r>
    </w:p>
    <w:tbl>
      <w:tblPr>
        <w:tblStyle w:val="50"/>
        <w:tblW w:w="10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244"/>
        <w:gridCol w:w="1748"/>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101"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524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投标人股东构成审查内容</w:t>
            </w:r>
          </w:p>
        </w:tc>
        <w:tc>
          <w:tcPr>
            <w:tcW w:w="1748"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投标人响应情况</w:t>
            </w:r>
          </w:p>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（是或否）</w:t>
            </w:r>
          </w:p>
        </w:tc>
        <w:tc>
          <w:tcPr>
            <w:tcW w:w="2222"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是否存在“与投标供应商单位负责人（法定代表人）为同一人的不同单位”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是否存在“与投标供应商存在管理关系的不同单位”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投标供应商是否有控股的子公司</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控股投标供应商的股东名单</w:t>
            </w:r>
            <w:r>
              <w:rPr>
                <w:rFonts w:hint="eastAsia" w:asciiTheme="minorEastAsia" w:hAnsiTheme="minorEastAsia" w:eastAsiaTheme="minorEastAsia"/>
                <w:b/>
                <w:szCs w:val="21"/>
              </w:rPr>
              <w:t>（股份制公司单位此项必须响应）</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bl>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注：</w:t>
      </w:r>
    </w:p>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1、响应情况为“是”，需在“名单”栏中提供相应的单位、子公司和股东的名单；响应情况为“否”，在“名单”栏填写“无”（股东情况仅需列明股东名称即可）。</w:t>
      </w:r>
    </w:p>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2、管理关系是指：投标供应商与特定企业之间因通过间接控股、投资关系、协议或者其他安排，存在实际管理关系。</w:t>
      </w:r>
    </w:p>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pPr>
        <w:spacing w:line="360" w:lineRule="auto"/>
        <w:rPr>
          <w:rFonts w:ascii="仿宋_GB2312" w:eastAsia="仿宋_GB2312" w:hAnsiTheme="minorEastAsia"/>
          <w:b/>
          <w:i/>
          <w:color w:val="FF0000"/>
          <w:sz w:val="24"/>
        </w:rPr>
      </w:pPr>
      <w:r>
        <w:rPr>
          <w:rFonts w:hint="eastAsia" w:ascii="仿宋_GB2312" w:eastAsia="仿宋_GB2312" w:hAnsiTheme="minorEastAsia"/>
          <w:b/>
          <w:i/>
          <w:color w:val="FF0000"/>
          <w:sz w:val="24"/>
        </w:rPr>
        <w:t>根据《中华人民共和国政府采购法实施条例》第十八条规定：“单位负责人为同一人或者存在直接控股、管理关系的不同供应商，不得参加同一合同项下的政府采购活动。”</w:t>
      </w:r>
    </w:p>
    <w:p>
      <w:pPr>
        <w:spacing w:line="300" w:lineRule="auto"/>
        <w:rPr>
          <w:rFonts w:asciiTheme="minorEastAsia" w:hAnsiTheme="minorEastAsia" w:eastAsiaTheme="minorEastAsia"/>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投标单位：（盖章）</w:t>
      </w: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授权代表或法定代表人：（签字）</w:t>
      </w:r>
    </w:p>
    <w:p>
      <w:pPr>
        <w:spacing w:line="360" w:lineRule="auto"/>
        <w:ind w:firstLine="600"/>
        <w:jc w:val="right"/>
        <w:rPr>
          <w:rFonts w:asciiTheme="minorEastAsia" w:hAnsiTheme="minorEastAsia" w:eastAsiaTheme="minorEastAsia"/>
          <w:szCs w:val="21"/>
        </w:rPr>
      </w:pPr>
      <w:r>
        <w:rPr>
          <w:rFonts w:hint="eastAsia" w:asciiTheme="minorEastAsia" w:hAnsiTheme="minorEastAsia" w:eastAsiaTheme="minorEastAsia"/>
          <w:szCs w:val="21"/>
        </w:rPr>
        <w:t>年     月    日</w:t>
      </w:r>
    </w:p>
    <w:p>
      <w:pPr>
        <w:adjustRightInd w:val="0"/>
        <w:snapToGrid w:val="0"/>
        <w:spacing w:line="360" w:lineRule="auto"/>
        <w:ind w:firstLine="600"/>
        <w:jc w:val="right"/>
        <w:rPr>
          <w:rFonts w:ascii="宋体" w:hAnsi="宋体"/>
          <w:b/>
          <w:sz w:val="30"/>
          <w:szCs w:val="30"/>
        </w:rPr>
      </w:pPr>
    </w:p>
    <w:p>
      <w:pPr>
        <w:tabs>
          <w:tab w:val="left" w:pos="450"/>
        </w:tabs>
        <w:jc w:val="center"/>
        <w:rPr>
          <w:rFonts w:ascii="宋体" w:hAnsi="宋体"/>
          <w:b/>
          <w:sz w:val="30"/>
          <w:szCs w:val="30"/>
        </w:rPr>
      </w:pPr>
    </w:p>
    <w:p>
      <w:pPr>
        <w:tabs>
          <w:tab w:val="left" w:pos="450"/>
        </w:tabs>
        <w:jc w:val="center"/>
        <w:rPr>
          <w:rFonts w:ascii="宋体" w:hAnsi="宋体"/>
          <w:b/>
          <w:sz w:val="28"/>
          <w:szCs w:val="28"/>
        </w:rPr>
      </w:pPr>
      <w:r>
        <w:rPr>
          <w:rFonts w:hint="eastAsia" w:ascii="宋体" w:hAnsi="宋体"/>
          <w:b/>
          <w:sz w:val="28"/>
          <w:szCs w:val="28"/>
        </w:rPr>
        <w:t>法定代表人证明书（参考）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mc:AlternateContent>
          <mc:Choice Requires="wps">
            <w:drawing>
              <wp:anchor distT="0" distB="0" distL="114300" distR="114300" simplePos="0" relativeHeight="251678720" behindDoc="0" locked="0" layoutInCell="1" allowOverlap="1">
                <wp:simplePos x="0" y="0"/>
                <wp:positionH relativeFrom="column">
                  <wp:posOffset>3183255</wp:posOffset>
                </wp:positionH>
                <wp:positionV relativeFrom="paragraph">
                  <wp:posOffset>136525</wp:posOffset>
                </wp:positionV>
                <wp:extent cx="3086100" cy="1981200"/>
                <wp:effectExtent l="4445" t="5080" r="14605" b="13970"/>
                <wp:wrapNone/>
                <wp:docPr id="21" name="Rectangle 5"/>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 xml:space="preserve">     法定代表人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wps:txbx>
                      <wps:bodyPr upright="1"/>
                    </wps:wsp>
                  </a:graphicData>
                </a:graphic>
              </wp:anchor>
            </w:drawing>
          </mc:Choice>
          <mc:Fallback>
            <w:pict>
              <v:rect id="Rectangle 5" o:spid="_x0000_s1026" o:spt="1" style="position:absolute;left:0pt;margin-left:250.65pt;margin-top:10.75pt;height:156pt;width:243pt;z-index:251678720;mso-width-relative:page;mso-height-relative:page;" fillcolor="#FFFFFF" filled="t" stroked="t" coordsize="21600,21600" o:gfxdata="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stu2X2AAAAAoBAAAPAAAAAAAAAAEAIAAAACIAAABkcnMvZG93bnJldi54bWxQ&#10;SwECFAAUAAAACACHTuJABpsf2PcBAAAuBAAADgAAAAAAAAABACAAAAAnAQAAZHJzL2Uyb0RvYy54&#10;bWxQSwUGAAAAAAYABgBZAQAAkAUAAAAA&#10;">
                <v:fill on="t" focussize="0,0"/>
                <v:stroke color="#000000" joinstyle="miter"/>
                <v:imagedata o:title=""/>
                <o:lock v:ext="edit" aspectratio="f"/>
                <v:textbox>
                  <w:txbxContent>
                    <w:p>
                      <w:pPr>
                        <w:ind w:firstLine="1260" w:firstLineChars="600"/>
                      </w:pPr>
                      <w:r>
                        <w:rPr>
                          <w:rFonts w:hint="eastAsia"/>
                        </w:rPr>
                        <w:t xml:space="preserve">     法定代表人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mc:Fallback>
        </mc:AlternateContent>
      </w:r>
      <w:r>
        <w:rPr>
          <w:rFonts w:ascii="宋体"/>
          <w:b/>
          <w:bCs/>
        </w:rPr>
        <mc:AlternateContent>
          <mc:Choice Requires="wps">
            <w:drawing>
              <wp:anchor distT="0" distB="0" distL="114300" distR="114300" simplePos="0" relativeHeight="251677696" behindDoc="0" locked="0" layoutInCell="1" allowOverlap="1">
                <wp:simplePos x="0" y="0"/>
                <wp:positionH relativeFrom="column">
                  <wp:posOffset>-150495</wp:posOffset>
                </wp:positionH>
                <wp:positionV relativeFrom="paragraph">
                  <wp:posOffset>136525</wp:posOffset>
                </wp:positionV>
                <wp:extent cx="3086100" cy="1981200"/>
                <wp:effectExtent l="4445" t="5080" r="14605" b="13970"/>
                <wp:wrapNone/>
                <wp:docPr id="20" name="Rectangle 4"/>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jc w:val="left"/>
                            </w:pPr>
                            <w:r>
                              <w:rPr>
                                <w:rFonts w:hint="eastAsia"/>
                              </w:rPr>
                              <w:t xml:space="preserve">     法定代表人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wps:txbx>
                      <wps:bodyPr upright="1"/>
                    </wps:wsp>
                  </a:graphicData>
                </a:graphic>
              </wp:anchor>
            </w:drawing>
          </mc:Choice>
          <mc:Fallback>
            <w:pict>
              <v:rect id="Rectangle 4" o:spid="_x0000_s1026" o:spt="1" style="position:absolute;left:0pt;margin-left:-11.85pt;margin-top:10.75pt;height:156pt;width:243pt;z-index:251677696;mso-width-relative:page;mso-height-relative:page;" fillcolor="#FFFFFF" filled="t" stroked="t" coordsize="21600,21600" o:gfxdata="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X9fxdkAAAAKAQAADwAAAAAAAAABACAAAAAiAAAAZHJzL2Rvd25yZXYueG1s&#10;UEsBAhQAFAAAAAgAh07iQHY13N/3AQAALgQAAA4AAAAAAAAAAQAgAAAAKAEAAGRycy9lMm9Eb2Mu&#10;eG1sUEsFBgAAAAAGAAYAWQEAAJEFAAAAAA==&#10;">
                <v:fill on="t" focussize="0,0"/>
                <v:stroke color="#000000" joinstyle="miter"/>
                <v:imagedata o:title=""/>
                <o:lock v:ext="edit" aspectratio="f"/>
                <v:textbox>
                  <w:txbxContent>
                    <w:p>
                      <w:pPr>
                        <w:ind w:firstLine="1260" w:firstLineChars="600"/>
                        <w:jc w:val="left"/>
                      </w:pPr>
                      <w:r>
                        <w:rPr>
                          <w:rFonts w:hint="eastAsia"/>
                        </w:rPr>
                        <w:t xml:space="preserve">     法定代表人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mc:Fallback>
        </mc:AlternateConten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spacing w:line="900" w:lineRule="exact"/>
        <w:ind w:firstLine="2249" w:firstLineChars="800"/>
        <w:rPr>
          <w:b/>
          <w:bCs/>
          <w:sz w:val="28"/>
        </w:rPr>
      </w:pPr>
    </w:p>
    <w:p>
      <w:pPr>
        <w:widowControl/>
        <w:jc w:val="left"/>
        <w:rPr>
          <w:b/>
          <w:bCs/>
          <w:sz w:val="28"/>
        </w:rPr>
      </w:pPr>
    </w:p>
    <w:p>
      <w:pPr>
        <w:ind w:firstLine="2249" w:firstLineChars="800"/>
        <w:rPr>
          <w:b/>
          <w:bCs/>
          <w:sz w:val="28"/>
        </w:rPr>
      </w:pPr>
    </w:p>
    <w:p>
      <w:pPr>
        <w:jc w:val="center"/>
        <w:rPr>
          <w:b/>
          <w:bCs/>
          <w:sz w:val="28"/>
        </w:rPr>
      </w:pPr>
      <w:r>
        <w:rPr>
          <w:rFonts w:hint="eastAsia"/>
          <w:b/>
          <w:bCs/>
          <w:sz w:val="28"/>
        </w:rPr>
        <w:t>法定代表人授权委托证明书</w:t>
      </w:r>
      <w:r>
        <w:rPr>
          <w:rFonts w:hint="eastAsia" w:ascii="宋体" w:hAnsi="宋体"/>
          <w:b/>
          <w:sz w:val="30"/>
          <w:szCs w:val="30"/>
        </w:rPr>
        <w:t>（参考）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w:t>
      </w:r>
      <w:r>
        <w:rPr>
          <w:snapToGrid w:val="0"/>
          <w:kern w:val="0"/>
        </w:rPr>
        <w:t>签字</w:t>
      </w:r>
      <w:r>
        <w:rPr>
          <w:rFonts w:hint="eastAsia"/>
        </w:rPr>
        <w:t>）</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62" w:name="_Toc226217114"/>
      <w:r>
        <w:rPr>
          <w:rFonts w:ascii="宋体"/>
        </w:rPr>
        <mc:AlternateContent>
          <mc:Choice Requires="wps">
            <w:drawing>
              <wp:anchor distT="0" distB="0" distL="114300" distR="114300" simplePos="0" relativeHeight="251675648" behindDoc="0" locked="0" layoutInCell="1" allowOverlap="1">
                <wp:simplePos x="0" y="0"/>
                <wp:positionH relativeFrom="column">
                  <wp:posOffset>-131445</wp:posOffset>
                </wp:positionH>
                <wp:positionV relativeFrom="paragraph">
                  <wp:posOffset>71120</wp:posOffset>
                </wp:positionV>
                <wp:extent cx="3086100" cy="1981200"/>
                <wp:effectExtent l="4445" t="5080" r="14605" b="13970"/>
                <wp:wrapNone/>
                <wp:docPr id="18" name="Rectangle 2"/>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wps:txbx>
                      <wps:bodyPr upright="1"/>
                    </wps:wsp>
                  </a:graphicData>
                </a:graphic>
              </wp:anchor>
            </w:drawing>
          </mc:Choice>
          <mc:Fallback>
            <w:pict>
              <v:rect id="Rectangle 2" o:spid="_x0000_s1026" o:spt="1" style="position:absolute;left:0pt;margin-left:-10.35pt;margin-top:5.6pt;height:156pt;width:243pt;z-index:251675648;mso-width-relative:page;mso-height-relative:page;" fillcolor="#FFFFFF" filled="t" stroked="t" coordsize="21600,21600" o:gfxdata="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CnLoXYAAAACgEAAA8AAAAAAAAAAQAgAAAAIgAAAGRycy9kb3ducmV2LnhtbFBL&#10;AQIUABQAAAAIAIdO4kBDRKAO9gEAAC4EAAAOAAAAAAAAAAEAIAAAACcBAABkcnMvZTJvRG9jLnht&#10;bFBLBQYAAAAABgAGAFkBAACPBQAAAAA=&#10;">
                <v:fill on="t" focussize="0,0"/>
                <v:stroke color="#000000" joinstyle="miter"/>
                <v:imagedata o:title=""/>
                <o:lock v:ext="edit" aspectratio="f"/>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mc:Fallback>
        </mc:AlternateContent>
      </w:r>
      <w:r>
        <w:rPr>
          <w:rFonts w:ascii="黑体" w:eastAsia="黑体"/>
        </w:rPr>
        <mc:AlternateContent>
          <mc:Choice Requires="wps">
            <w:drawing>
              <wp:anchor distT="0" distB="0" distL="114300" distR="114300" simplePos="0" relativeHeight="251676672" behindDoc="0" locked="0" layoutInCell="1" allowOverlap="1">
                <wp:simplePos x="0" y="0"/>
                <wp:positionH relativeFrom="column">
                  <wp:posOffset>3173730</wp:posOffset>
                </wp:positionH>
                <wp:positionV relativeFrom="paragraph">
                  <wp:posOffset>71120</wp:posOffset>
                </wp:positionV>
                <wp:extent cx="3086100" cy="1981200"/>
                <wp:effectExtent l="4445" t="5080" r="14605" b="13970"/>
                <wp:wrapNone/>
                <wp:docPr id="19" name="Rectangle 3"/>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wps:txbx>
                      <wps:bodyPr upright="1"/>
                    </wps:wsp>
                  </a:graphicData>
                </a:graphic>
              </wp:anchor>
            </w:drawing>
          </mc:Choice>
          <mc:Fallback>
            <w:pict>
              <v:rect id="Rectangle 3" o:spid="_x0000_s1026" o:spt="1" style="position:absolute;left:0pt;margin-left:249.9pt;margin-top:5.6pt;height:156pt;width:243pt;z-index:251676672;mso-width-relative:page;mso-height-relative:page;" fillcolor="#FFFFFF" filled="t" stroked="t" coordsize="21600,21600" o:gfxdata="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h2b+u2AAAAAoBAAAPAAAAAAAAAAEAIAAAACIAAABkcnMvZG93bnJldi54bWxQ&#10;SwECFAAUAAAACACHTuJAM+pjCfcBAAAuBAAADgAAAAAAAAABACAAAAAnAQAAZHJzL2Uyb0RvYy54&#10;bWxQSwUGAAAAAAYABgBZAQAAkAUAAAAA&#10;">
                <v:fill on="t" focussize="0,0"/>
                <v:stroke color="#000000" joinstyle="miter"/>
                <v:imagedata o:title=""/>
                <o:lock v:ext="edit" aspectratio="f"/>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mc:Fallback>
        </mc:AlternateContent>
      </w:r>
      <w:bookmarkEnd w:id="62"/>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rPr>
          <w:rFonts w:asciiTheme="majorEastAsia" w:hAnsiTheme="majorEastAsia" w:eastAsiaTheme="majorEastAsia"/>
          <w:b/>
          <w:snapToGrid w:val="0"/>
          <w:kern w:val="0"/>
          <w:sz w:val="24"/>
        </w:rPr>
      </w:pPr>
      <w:r>
        <w:rPr>
          <w:rFonts w:hint="eastAsia" w:asciiTheme="majorEastAsia" w:hAnsiTheme="majorEastAsia" w:eastAsiaTheme="majorEastAsia"/>
          <w:b/>
          <w:sz w:val="24"/>
        </w:rPr>
        <w:t>注：法定代表人证明书和法定代表人授权委托证明书除装订于投标文件中外，还须另置一份按“投标人须知”18.4项要求单独密封。</w:t>
      </w:r>
    </w:p>
    <w:p/>
    <w:p>
      <w:pPr>
        <w:widowControl/>
        <w:jc w:val="left"/>
      </w:pPr>
      <w:r>
        <w:br w:type="page"/>
      </w:r>
    </w:p>
    <w:p>
      <w:pPr>
        <w:tabs>
          <w:tab w:val="left" w:pos="720"/>
        </w:tabs>
        <w:adjustRightInd w:val="0"/>
        <w:snapToGrid w:val="0"/>
        <w:spacing w:line="300" w:lineRule="auto"/>
        <w:rPr>
          <w:b/>
          <w:snapToGrid w:val="0"/>
          <w:kern w:val="0"/>
          <w:sz w:val="28"/>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格式2  投</w:t>
      </w:r>
      <w:r>
        <w:rPr>
          <w:rFonts w:asciiTheme="minorEastAsia" w:hAnsiTheme="minorEastAsia" w:eastAsiaTheme="minorEastAsia"/>
          <w:sz w:val="24"/>
        </w:rPr>
        <w:t xml:space="preserve"> </w:t>
      </w:r>
      <w:r>
        <w:rPr>
          <w:rFonts w:hint="eastAsia" w:asciiTheme="minorEastAsia" w:hAnsiTheme="minorEastAsia" w:eastAsiaTheme="minorEastAsia"/>
          <w:sz w:val="24"/>
        </w:rPr>
        <w:t>标</w:t>
      </w:r>
      <w:r>
        <w:rPr>
          <w:rFonts w:asciiTheme="minorEastAsia" w:hAnsiTheme="minorEastAsia" w:eastAsiaTheme="minorEastAsia"/>
          <w:sz w:val="24"/>
        </w:rPr>
        <w:t xml:space="preserve"> </w:t>
      </w:r>
      <w:r>
        <w:rPr>
          <w:rFonts w:hint="eastAsia" w:asciiTheme="minorEastAsia" w:hAnsiTheme="minorEastAsia" w:eastAsiaTheme="minorEastAsia"/>
          <w:sz w:val="24"/>
        </w:rPr>
        <w:t>函</w:t>
      </w:r>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2．我单位提交的投标文件为：投标书正本一份，副本四份，电子备份光盘（或U盘）一份（内容为投标文件正本盖章扫描件）。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4．我单位愿意提供招标代理机构在招标文件中要求的所有资料，且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w:t>
      </w:r>
      <w:r>
        <w:rPr>
          <w:rFonts w:hint="eastAsia" w:ascii="宋体" w:hAnsi="宋体" w:cs="Courier New"/>
          <w:snapToGrid w:val="0"/>
          <w:szCs w:val="18"/>
        </w:rPr>
        <w:t>中华人民共和国民法典</w:t>
      </w:r>
      <w:r>
        <w:rPr>
          <w:rFonts w:hint="eastAsia" w:cs="Courier New" w:asciiTheme="minorEastAsia" w:hAnsiTheme="minorEastAsia" w:eastAsiaTheme="minorEastAsia"/>
          <w:snapToGrid w:val="0"/>
          <w:szCs w:val="18"/>
        </w:rPr>
        <w:t>》履行自己的全部责任。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同意中标后向招标代理机构支付招标文件要求数额的中标服务费。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rPr>
          <w:rFonts w:hint="eastAsia"/>
        </w:rPr>
        <w:t>授权代表： （签字）</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r>
        <w:rPr>
          <w:rFonts w:asciiTheme="minorEastAsia" w:hAnsiTheme="minorEastAsia" w:eastAsiaTheme="minorEastAsia"/>
          <w:sz w:val="24"/>
        </w:rPr>
        <w:br w:type="page"/>
      </w: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格式3  评分中涉及的承诺及声明函</w:t>
      </w:r>
    </w:p>
    <w:p>
      <w:pPr>
        <w:adjustRightInd w:val="0"/>
        <w:spacing w:line="300" w:lineRule="auto"/>
        <w:ind w:hanging="2"/>
        <w:jc w:val="center"/>
        <w:rPr>
          <w:b/>
          <w:snapToGrid w:val="0"/>
          <w:kern w:val="0"/>
          <w:sz w:val="28"/>
        </w:rPr>
      </w:pPr>
      <w:r>
        <w:rPr>
          <w:rFonts w:hint="eastAsia"/>
          <w:b/>
          <w:snapToGrid w:val="0"/>
          <w:kern w:val="0"/>
          <w:sz w:val="28"/>
        </w:rPr>
        <w:t>诚信承诺函</w:t>
      </w:r>
    </w:p>
    <w:p>
      <w:pPr>
        <w:pStyle w:val="413"/>
        <w:keepNext w:val="0"/>
        <w:adjustRightInd/>
        <w:spacing w:before="0" w:after="0" w:line="240" w:lineRule="auto"/>
        <w:outlineLvl w:val="2"/>
        <w:rPr>
          <w:rFonts w:hAnsi="宋体"/>
          <w:szCs w:val="24"/>
        </w:rPr>
      </w:pPr>
    </w:p>
    <w:p>
      <w:pPr>
        <w:spacing w:line="360" w:lineRule="auto"/>
        <w:rPr>
          <w:rFonts w:cs="Courier New"/>
          <w:snapToGrid w:val="0"/>
          <w:szCs w:val="18"/>
        </w:rPr>
      </w:pPr>
      <w:r>
        <w:rPr>
          <w:rFonts w:hint="eastAsia" w:cs="Courier New"/>
          <w:snapToGrid w:val="0"/>
          <w:szCs w:val="18"/>
        </w:rPr>
        <w:t>深圳市中正招标有限公司：</w:t>
      </w:r>
    </w:p>
    <w:p>
      <w:pPr>
        <w:spacing w:line="360" w:lineRule="auto"/>
        <w:ind w:firstLine="420" w:firstLineChars="200"/>
        <w:rPr>
          <w:rFonts w:cs="Courier New"/>
          <w:snapToGrid w:val="0"/>
          <w:szCs w:val="18"/>
        </w:rPr>
      </w:pPr>
      <w:r>
        <w:rPr>
          <w:rFonts w:hint="eastAsia" w:cs="Courier New"/>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pPr>
        <w:spacing w:line="360" w:lineRule="auto"/>
        <w:ind w:firstLine="420" w:firstLineChars="200"/>
        <w:rPr>
          <w:rFonts w:cs="Courier New"/>
          <w:snapToGrid w:val="0"/>
          <w:szCs w:val="18"/>
        </w:rPr>
      </w:pPr>
      <w:r>
        <w:rPr>
          <w:rFonts w:hint="eastAsia" w:cs="Courier New"/>
          <w:snapToGrid w:val="0"/>
          <w:szCs w:val="18"/>
        </w:rPr>
        <w:t>我单位承诺，在参加政府采购活动中没有出现下列行为之一：</w:t>
      </w:r>
    </w:p>
    <w:p>
      <w:pPr>
        <w:spacing w:line="360" w:lineRule="auto"/>
        <w:ind w:firstLine="420" w:firstLineChars="200"/>
        <w:rPr>
          <w:rFonts w:cs="Courier New"/>
          <w:snapToGrid w:val="0"/>
          <w:szCs w:val="18"/>
        </w:rPr>
      </w:pPr>
      <w:r>
        <w:rPr>
          <w:rFonts w:hint="eastAsia" w:cs="Courier New"/>
          <w:snapToGrid w:val="0"/>
          <w:szCs w:val="18"/>
        </w:rPr>
        <w:t>（一）投标截止后，无正当理由撤销其投标行为，导致项目无法正常开评标的；</w:t>
      </w:r>
    </w:p>
    <w:p>
      <w:pPr>
        <w:spacing w:line="360" w:lineRule="auto"/>
        <w:ind w:firstLine="420" w:firstLineChars="200"/>
        <w:rPr>
          <w:rFonts w:cs="Courier New"/>
          <w:snapToGrid w:val="0"/>
          <w:szCs w:val="18"/>
        </w:rPr>
      </w:pPr>
      <w:r>
        <w:rPr>
          <w:rFonts w:hint="eastAsia" w:cs="Courier New"/>
          <w:snapToGrid w:val="0"/>
          <w:szCs w:val="18"/>
        </w:rPr>
        <w:t>（二）未按《采购条例》规定签订、履行采购合同，严重影响采购人日常工作的；</w:t>
      </w:r>
    </w:p>
    <w:p>
      <w:pPr>
        <w:spacing w:line="360" w:lineRule="auto"/>
        <w:ind w:firstLine="420" w:firstLineChars="200"/>
        <w:rPr>
          <w:rFonts w:cs="Courier New"/>
          <w:snapToGrid w:val="0"/>
          <w:szCs w:val="18"/>
        </w:rPr>
      </w:pPr>
      <w:r>
        <w:rPr>
          <w:rFonts w:hint="eastAsia" w:cs="Courier New"/>
          <w:snapToGrid w:val="0"/>
          <w:szCs w:val="18"/>
        </w:rPr>
        <w:t>（三）在投标文件中未说明且未经采购人同意，将中标项目分包给他人，情节严重的；</w:t>
      </w:r>
    </w:p>
    <w:p>
      <w:pPr>
        <w:spacing w:line="360" w:lineRule="auto"/>
        <w:ind w:firstLine="420" w:firstLineChars="200"/>
        <w:rPr>
          <w:rFonts w:cs="Courier New"/>
          <w:snapToGrid w:val="0"/>
          <w:szCs w:val="18"/>
        </w:rPr>
      </w:pPr>
      <w:r>
        <w:rPr>
          <w:rFonts w:hint="eastAsia" w:cs="Courier New"/>
          <w:snapToGrid w:val="0"/>
          <w:szCs w:val="18"/>
        </w:rPr>
        <w:t>（四）严重违反合同约定，擅自降低货物质量等次和售后服务，货物、工程或者服务存在严重质量问题的；</w:t>
      </w:r>
    </w:p>
    <w:p>
      <w:pPr>
        <w:spacing w:line="360" w:lineRule="auto"/>
        <w:ind w:firstLine="420" w:firstLineChars="200"/>
        <w:rPr>
          <w:rFonts w:cs="Courier New"/>
          <w:snapToGrid w:val="0"/>
          <w:szCs w:val="18"/>
        </w:rPr>
      </w:pPr>
      <w:r>
        <w:rPr>
          <w:rFonts w:hint="eastAsia" w:cs="Courier New"/>
          <w:snapToGrid w:val="0"/>
          <w:szCs w:val="18"/>
        </w:rPr>
        <w:t>（五）严重违反合同约定，未能完成全部货物、服务或工程项目，中途停止配送或者变相增加费用的；</w:t>
      </w:r>
    </w:p>
    <w:p>
      <w:pPr>
        <w:spacing w:line="360" w:lineRule="auto"/>
        <w:ind w:firstLine="420" w:firstLineChars="200"/>
        <w:rPr>
          <w:rFonts w:cs="Courier New"/>
          <w:snapToGrid w:val="0"/>
          <w:szCs w:val="18"/>
        </w:rPr>
      </w:pPr>
      <w:r>
        <w:rPr>
          <w:rFonts w:hint="eastAsia" w:cs="Courier New"/>
          <w:snapToGrid w:val="0"/>
          <w:szCs w:val="18"/>
        </w:rPr>
        <w:t>（六）捏造事实、提供虚假材料进行质疑的；</w:t>
      </w:r>
    </w:p>
    <w:p>
      <w:pPr>
        <w:spacing w:line="360" w:lineRule="auto"/>
        <w:ind w:firstLine="420" w:firstLineChars="200"/>
        <w:rPr>
          <w:rFonts w:cs="Courier New"/>
          <w:snapToGrid w:val="0"/>
          <w:szCs w:val="18"/>
        </w:rPr>
      </w:pPr>
      <w:r>
        <w:rPr>
          <w:rFonts w:hint="eastAsia" w:cs="Courier New"/>
          <w:snapToGrid w:val="0"/>
          <w:szCs w:val="18"/>
        </w:rPr>
        <w:t>（七）假冒他人名义质疑的；</w:t>
      </w:r>
    </w:p>
    <w:p>
      <w:pPr>
        <w:spacing w:line="360" w:lineRule="auto"/>
        <w:ind w:firstLine="420" w:firstLineChars="200"/>
        <w:rPr>
          <w:rFonts w:cs="Courier New"/>
          <w:snapToGrid w:val="0"/>
          <w:szCs w:val="18"/>
        </w:rPr>
      </w:pPr>
      <w:r>
        <w:rPr>
          <w:rFonts w:hint="eastAsia" w:cs="Courier New"/>
          <w:snapToGrid w:val="0"/>
          <w:szCs w:val="18"/>
        </w:rPr>
        <w:t>（八）无正当理由拒不配合进行质疑调查的。</w:t>
      </w:r>
    </w:p>
    <w:p>
      <w:pPr>
        <w:spacing w:line="360" w:lineRule="auto"/>
        <w:ind w:firstLine="420" w:firstLineChars="200"/>
        <w:rPr>
          <w:rFonts w:cs="Courier New"/>
          <w:snapToGrid w:val="0"/>
          <w:szCs w:val="18"/>
        </w:rPr>
      </w:pPr>
      <w:r>
        <w:rPr>
          <w:rFonts w:hint="eastAsia" w:cs="Courier New"/>
          <w:snapToGrid w:val="0"/>
          <w:szCs w:val="18"/>
        </w:rPr>
        <w:t>特此承诺。</w:t>
      </w:r>
    </w:p>
    <w:p>
      <w:pPr>
        <w:spacing w:line="360" w:lineRule="auto"/>
        <w:ind w:firstLine="420" w:firstLineChars="2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
    <w:p>
      <w:pPr>
        <w:widowControl/>
        <w:jc w:val="left"/>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r>
        <w:rPr>
          <w:rFonts w:hint="eastAsia"/>
          <w:b/>
          <w:snapToGrid w:val="0"/>
          <w:kern w:val="0"/>
          <w:sz w:val="28"/>
        </w:rPr>
        <w:t>履约承诺函</w:t>
      </w:r>
    </w:p>
    <w:p>
      <w:pPr>
        <w:rPr>
          <w:rFonts w:ascii="宋体" w:hAnsi="宋体"/>
          <w:szCs w:val="21"/>
        </w:rPr>
      </w:pPr>
    </w:p>
    <w:p>
      <w:pPr>
        <w:rPr>
          <w:rFonts w:ascii="宋体" w:hAnsi="宋体"/>
          <w:szCs w:val="21"/>
        </w:rPr>
      </w:pPr>
      <w:r>
        <w:rPr>
          <w:rFonts w:hint="eastAsia" w:ascii="宋体" w:hAnsi="宋体"/>
          <w:szCs w:val="21"/>
        </w:rPr>
        <w:t>深圳市中正招标有限公司：</w:t>
      </w:r>
    </w:p>
    <w:p>
      <w:pPr>
        <w:spacing w:line="360" w:lineRule="auto"/>
        <w:ind w:firstLine="420" w:firstLineChars="200"/>
        <w:rPr>
          <w:rFonts w:ascii="宋体" w:hAnsi="宋体"/>
          <w:szCs w:val="21"/>
        </w:rPr>
      </w:pPr>
      <w:r>
        <w:rPr>
          <w:rFonts w:hint="eastAsia" w:ascii="宋体" w:hAnsi="宋体"/>
          <w:szCs w:val="21"/>
        </w:rPr>
        <w:t>我单位承诺：在本项目</w:t>
      </w:r>
      <w:r>
        <w:rPr>
          <w:rFonts w:hint="eastAsia" w:ascii="宋体" w:hAnsi="宋体"/>
          <w:color w:val="000000"/>
          <w:szCs w:val="21"/>
        </w:rPr>
        <w:t>投标截止日前近三年内，我</w:t>
      </w:r>
      <w:r>
        <w:rPr>
          <w:rFonts w:hint="eastAsia" w:ascii="宋体" w:hAnsi="宋体"/>
          <w:szCs w:val="21"/>
        </w:rPr>
        <w:t>单位</w:t>
      </w:r>
      <w:r>
        <w:rPr>
          <w:rFonts w:hint="eastAsia" w:ascii="宋体" w:hAnsi="宋体"/>
          <w:color w:val="000000"/>
          <w:szCs w:val="21"/>
        </w:rPr>
        <w:t>在深圳市范围内政府采购招标投标活动中不存在履约评价为差的记录，</w:t>
      </w:r>
      <w:r>
        <w:rPr>
          <w:rFonts w:hint="eastAsia" w:ascii="宋体" w:hAnsi="宋体"/>
          <w:szCs w:val="21"/>
        </w:rPr>
        <w:t>如若投标文件与实际情况不符，我单位自愿承担“隐瞒真实情况，提供虚假资料”以及其他一切不利的法律后果。</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right="480" w:firstLine="3360" w:firstLineChars="1600"/>
        <w:rPr>
          <w:rFonts w:ascii="宋体" w:hAnsi="宋体"/>
          <w:szCs w:val="21"/>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Pr>
        <w:pStyle w:val="6"/>
        <w:tabs>
          <w:tab w:val="left" w:pos="0"/>
        </w:tabs>
        <w:jc w:val="center"/>
        <w:rPr>
          <w:rFonts w:ascii="宋体" w:hAnsi="宋体" w:eastAsia="宋体"/>
        </w:rPr>
      </w:pPr>
      <w:r>
        <w:rPr>
          <w:rFonts w:hint="eastAsia" w:ascii="宋体" w:hAnsi="宋体" w:eastAsia="宋体"/>
        </w:rPr>
        <w:t>中小企业声明函</w:t>
      </w:r>
    </w:p>
    <w:p>
      <w:pPr>
        <w:pStyle w:val="2"/>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服务全部由符合政策要求的中小企业承接</w:t>
      </w:r>
      <w:r>
        <w:rPr>
          <w:rFonts w:asciiTheme="minorEastAsia" w:hAnsiTheme="minorEastAsia" w:eastAsiaTheme="minorEastAsia"/>
          <w:szCs w:val="21"/>
        </w:rPr>
        <w:t>。相关企业（含联合体中的中小企业、签订分包意向协议的中小企业）的具体情况如下：</w:t>
      </w:r>
    </w:p>
    <w:p>
      <w:pPr>
        <w:pStyle w:val="2"/>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pStyle w:val="2"/>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pStyle w:val="2"/>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rPr>
          <w:rFonts w:asciiTheme="minorEastAsia" w:hAnsiTheme="minorEastAsia" w:eastAsiaTheme="minorEastAsia"/>
          <w:szCs w:val="21"/>
        </w:rPr>
      </w:pP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相关规定。如不符合前述相关规定所确定的</w:t>
      </w:r>
      <w:r>
        <w:rPr>
          <w:rFonts w:hint="eastAsia" w:ascii="宋体" w:hAnsi="宋体"/>
          <w:b/>
          <w:szCs w:val="21"/>
        </w:rPr>
        <w:t>小型和微型企业</w:t>
      </w:r>
      <w:r>
        <w:rPr>
          <w:rFonts w:hint="eastAsia" w:ascii="宋体" w:hAnsi="宋体"/>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p>
    <w:p>
      <w:pPr>
        <w:pStyle w:val="6"/>
        <w:tabs>
          <w:tab w:val="left" w:pos="0"/>
        </w:tabs>
        <w:jc w:val="center"/>
        <w:rPr>
          <w:rFonts w:ascii="宋体" w:hAnsi="宋体" w:eastAsia="宋体"/>
        </w:rPr>
      </w:pPr>
      <w:r>
        <w:rPr>
          <w:rFonts w:hint="eastAsia" w:ascii="宋体" w:hAnsi="宋体" w:eastAsia="宋体"/>
        </w:rPr>
        <w:t>监狱企业声明函</w:t>
      </w:r>
    </w:p>
    <w:p>
      <w:pPr>
        <w:spacing w:after="60"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after="60"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645"/>
        <w:rPr>
          <w:rFonts w:ascii="宋体"/>
          <w:b/>
          <w:szCs w:val="21"/>
        </w:rPr>
      </w:pPr>
      <w:r>
        <w:rPr>
          <w:rFonts w:hint="eastAsia" w:ascii="宋体" w:hAnsi="宋体"/>
          <w:szCs w:val="21"/>
        </w:rPr>
        <w:t xml:space="preserve">                                    </w:t>
      </w: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spacing w:line="360" w:lineRule="auto"/>
        <w:ind w:firstLine="420" w:firstLineChars="200"/>
        <w:rPr>
          <w:rFonts w:ascii="宋体" w:hAnsi="宋体"/>
          <w:szCs w:val="21"/>
        </w:rPr>
      </w:pPr>
    </w:p>
    <w:p>
      <w:pPr>
        <w:pStyle w:val="6"/>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项目采购活动，由本单位提供服务。</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rPr>
          <w:rFonts w:ascii="宋体" w:hAnsi="宋体"/>
          <w:szCs w:val="21"/>
        </w:rPr>
      </w:pP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line="360" w:lineRule="auto"/>
        <w:jc w:val="left"/>
        <w:rPr>
          <w:rFonts w:ascii="宋体" w:hAnsi="宋体"/>
          <w:szCs w:val="21"/>
        </w:rPr>
      </w:pPr>
      <w:r>
        <w:rPr>
          <w:rFonts w:hint="eastAsia" w:ascii="宋体" w:hAnsi="宋体"/>
          <w:szCs w:val="21"/>
        </w:rPr>
        <w:t xml:space="preserve">    备注：填写前请认真阅读《财政部 民政部 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adjustRightInd w:val="0"/>
        <w:snapToGrid w:val="0"/>
        <w:spacing w:line="360" w:lineRule="auto"/>
        <w:ind w:firstLine="600"/>
        <w:jc w:val="right"/>
      </w:pPr>
      <w:r>
        <w:t xml:space="preserve">                                          </w:t>
      </w:r>
      <w:r>
        <w:rPr>
          <w:b/>
          <w:bCs/>
        </w:rPr>
        <w:t xml:space="preserve">  </w:t>
      </w:r>
    </w:p>
    <w:p>
      <w:pPr>
        <w:adjustRightInd w:val="0"/>
        <w:snapToGrid w:val="0"/>
        <w:spacing w:line="360" w:lineRule="auto"/>
        <w:ind w:firstLine="600"/>
        <w:jc w:val="right"/>
      </w:pPr>
    </w:p>
    <w:p>
      <w:pPr>
        <w:widowControl/>
        <w:jc w:val="left"/>
      </w:pPr>
      <w:r>
        <w:br w:type="page"/>
      </w:r>
    </w:p>
    <w:p>
      <w:pPr>
        <w:adjustRightInd w:val="0"/>
        <w:snapToGrid w:val="0"/>
        <w:spacing w:line="360" w:lineRule="auto"/>
        <w:ind w:firstLine="600"/>
        <w:jc w:val="left"/>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3" w:name="_Toc44691397"/>
      <w:bookmarkStart w:id="64" w:name="_Toc44690433"/>
      <w:bookmarkStart w:id="65" w:name="_Toc44690706"/>
      <w:bookmarkStart w:id="66" w:name="_Toc44691165"/>
      <w:r>
        <w:rPr>
          <w:rFonts w:hint="eastAsia" w:asciiTheme="minorEastAsia" w:hAnsiTheme="minorEastAsia" w:eastAsiaTheme="minorEastAsia"/>
          <w:sz w:val="24"/>
        </w:rPr>
        <w:t>格式4  开标一览表</w:t>
      </w:r>
      <w:bookmarkEnd w:id="63"/>
      <w:bookmarkEnd w:id="64"/>
      <w:bookmarkEnd w:id="65"/>
      <w:bookmarkEnd w:id="66"/>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5"/>
        <w:gridCol w:w="4330"/>
        <w:gridCol w:w="184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3315"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330"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pPr>
              <w:adjustRightInd w:val="0"/>
              <w:snapToGrid w:val="0"/>
              <w:spacing w:line="360" w:lineRule="auto"/>
              <w:jc w:val="center"/>
              <w:rPr>
                <w:snapToGrid w:val="0"/>
                <w:kern w:val="0"/>
              </w:rPr>
            </w:pPr>
            <w:r>
              <w:rPr>
                <w:snapToGrid w:val="0"/>
                <w:kern w:val="0"/>
              </w:rPr>
              <w:t>（人民币元）</w:t>
            </w:r>
          </w:p>
        </w:tc>
        <w:tc>
          <w:tcPr>
            <w:tcW w:w="1843"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3315" w:type="dxa"/>
            <w:tcBorders>
              <w:top w:val="single" w:color="auto" w:sz="4" w:space="0"/>
            </w:tcBorders>
            <w:vAlign w:val="center"/>
          </w:tcPr>
          <w:p>
            <w:pPr>
              <w:adjustRightInd w:val="0"/>
              <w:snapToGrid w:val="0"/>
              <w:spacing w:line="360" w:lineRule="auto"/>
              <w:jc w:val="center"/>
            </w:pPr>
            <w:r>
              <w:rPr>
                <w:rFonts w:hint="eastAsia"/>
              </w:rPr>
              <w:t>龙岗区耳鼻咽喉医院信息系统软件建设维护服务项目</w:t>
            </w:r>
          </w:p>
        </w:tc>
        <w:tc>
          <w:tcPr>
            <w:tcW w:w="4330" w:type="dxa"/>
            <w:tcBorders>
              <w:top w:val="single" w:color="auto" w:sz="4" w:space="0"/>
            </w:tcBorders>
            <w:vAlign w:val="center"/>
          </w:tcPr>
          <w:p>
            <w:pPr>
              <w:adjustRightInd w:val="0"/>
              <w:snapToGrid w:val="0"/>
              <w:spacing w:line="360" w:lineRule="auto"/>
              <w:rPr>
                <w:snapToGrid w:val="0"/>
                <w:kern w:val="0"/>
                <w:u w:val="single"/>
              </w:rPr>
            </w:pPr>
            <w:r>
              <w:rPr>
                <w:snapToGrid w:val="0"/>
                <w:kern w:val="0"/>
              </w:rPr>
              <w:t>大写：</w:t>
            </w:r>
            <w:r>
              <w:rPr>
                <w:snapToGrid w:val="0"/>
                <w:kern w:val="0"/>
                <w:u w:val="single"/>
              </w:rPr>
              <w:t xml:space="preserve">                   </w:t>
            </w:r>
            <w:r>
              <w:rPr>
                <w:rFonts w:hint="eastAsia"/>
                <w:snapToGrid w:val="0"/>
                <w:kern w:val="0"/>
                <w:u w:val="single"/>
              </w:rPr>
              <w:t xml:space="preserve">           </w:t>
            </w:r>
          </w:p>
          <w:p>
            <w:pPr>
              <w:adjustRightInd w:val="0"/>
              <w:snapToGrid w:val="0"/>
              <w:spacing w:line="360" w:lineRule="auto"/>
              <w:rPr>
                <w:snapToGrid w:val="0"/>
                <w:kern w:val="0"/>
                <w:u w:val="single"/>
              </w:rPr>
            </w:pPr>
            <w:r>
              <w:rPr>
                <w:snapToGrid w:val="0"/>
                <w:kern w:val="0"/>
              </w:rPr>
              <w:t>小写：</w:t>
            </w:r>
            <w:r>
              <w:rPr>
                <w:snapToGrid w:val="0"/>
                <w:kern w:val="0"/>
                <w:u w:val="single"/>
              </w:rPr>
              <w:t xml:space="preserve">                   </w:t>
            </w:r>
            <w:r>
              <w:rPr>
                <w:rFonts w:hint="eastAsia"/>
                <w:snapToGrid w:val="0"/>
                <w:kern w:val="0"/>
                <w:u w:val="single"/>
              </w:rPr>
              <w:t xml:space="preserve">           </w:t>
            </w:r>
          </w:p>
        </w:tc>
        <w:tc>
          <w:tcPr>
            <w:tcW w:w="1843"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szCs w:val="21"/>
        </w:rPr>
        <w:t>投标</w:t>
      </w:r>
      <w:r>
        <w:rPr>
          <w:rFonts w:hint="eastAsia"/>
          <w:snapToGrid w:val="0"/>
          <w:kern w:val="0"/>
        </w:rPr>
        <w:t>总</w:t>
      </w:r>
      <w:r>
        <w:rPr>
          <w:rFonts w:hint="eastAsia" w:ascii="宋体" w:hAnsi="宋体"/>
          <w:szCs w:val="21"/>
        </w:rPr>
        <w:t>价为综合报价，包含完成本项目所需的全部费用</w:t>
      </w:r>
      <w:r>
        <w:rPr>
          <w:rFonts w:hint="eastAsia" w:ascii="宋体" w:hAnsi="宋体"/>
          <w:bCs/>
        </w:rPr>
        <w:t>。</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Pr>
        <w:pStyle w:val="28"/>
        <w:adjustRightInd w:val="0"/>
        <w:snapToGrid w:val="0"/>
        <w:spacing w:line="312" w:lineRule="auto"/>
        <w:jc w:val="center"/>
        <w:rPr>
          <w:rFonts w:ascii="Times New Roman" w:hAnsi="Times New Roman"/>
          <w:b/>
          <w:sz w:val="28"/>
        </w:rPr>
      </w:pPr>
    </w:p>
    <w:p/>
    <w:p/>
    <w:p/>
    <w:p/>
    <w:p/>
    <w:p/>
    <w:p/>
    <w:p/>
    <w:p>
      <w:pPr>
        <w:widowControl/>
        <w:jc w:val="left"/>
      </w:pPr>
    </w:p>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7" w:name="_Toc44690707"/>
      <w:bookmarkStart w:id="68" w:name="_Toc44691398"/>
      <w:bookmarkStart w:id="69" w:name="_Toc44690434"/>
      <w:bookmarkStart w:id="70" w:name="_Toc44691166"/>
      <w:r>
        <w:rPr>
          <w:rFonts w:hint="eastAsia" w:asciiTheme="minorEastAsia" w:hAnsiTheme="minorEastAsia" w:eastAsiaTheme="minorEastAsia"/>
          <w:sz w:val="24"/>
        </w:rPr>
        <w:t>格式5  报价表</w:t>
      </w:r>
      <w:bookmarkEnd w:id="67"/>
      <w:bookmarkEnd w:id="68"/>
      <w:bookmarkEnd w:id="69"/>
      <w:bookmarkEnd w:id="70"/>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投标</w:t>
      </w:r>
      <w:r>
        <w:rPr>
          <w:rFonts w:hint="eastAsia"/>
          <w:snapToGrid w:val="0"/>
          <w:kern w:val="0"/>
        </w:rPr>
        <w:t>报</w:t>
      </w:r>
      <w:r>
        <w:rPr>
          <w:rFonts w:hint="eastAsia" w:asciiTheme="minorEastAsia" w:hAnsiTheme="minorEastAsia" w:eastAsiaTheme="minorEastAsia"/>
          <w:snapToGrid w:val="0"/>
          <w:kern w:val="0"/>
        </w:rPr>
        <w:t>价为综合报价，包含完成本项目所需的全部费用。</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3588"/>
        <w:gridCol w:w="2664"/>
        <w:gridCol w:w="23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77" w:type="dxa"/>
            <w:vAlign w:val="center"/>
          </w:tcPr>
          <w:p>
            <w:pPr>
              <w:adjustRightInd w:val="0"/>
              <w:snapToGrid w:val="0"/>
              <w:spacing w:line="300" w:lineRule="auto"/>
              <w:jc w:val="center"/>
              <w:rPr>
                <w:b/>
                <w:snapToGrid w:val="0"/>
                <w:kern w:val="0"/>
              </w:rPr>
            </w:pPr>
            <w:r>
              <w:rPr>
                <w:b/>
                <w:snapToGrid w:val="0"/>
                <w:kern w:val="0"/>
              </w:rPr>
              <w:t>序号</w:t>
            </w:r>
          </w:p>
        </w:tc>
        <w:tc>
          <w:tcPr>
            <w:tcW w:w="3588" w:type="dxa"/>
            <w:vAlign w:val="center"/>
          </w:tcPr>
          <w:p>
            <w:pPr>
              <w:adjustRightInd w:val="0"/>
              <w:snapToGrid w:val="0"/>
              <w:spacing w:line="300" w:lineRule="auto"/>
              <w:jc w:val="center"/>
              <w:rPr>
                <w:b/>
                <w:snapToGrid w:val="0"/>
                <w:kern w:val="0"/>
              </w:rPr>
            </w:pPr>
            <w:r>
              <w:rPr>
                <w:rFonts w:hint="eastAsia"/>
                <w:b/>
                <w:snapToGrid w:val="0"/>
                <w:kern w:val="0"/>
              </w:rPr>
              <w:t>项目内容</w:t>
            </w:r>
          </w:p>
        </w:tc>
        <w:tc>
          <w:tcPr>
            <w:tcW w:w="2664" w:type="dxa"/>
            <w:vAlign w:val="center"/>
          </w:tcPr>
          <w:p>
            <w:pPr>
              <w:adjustRightInd w:val="0"/>
              <w:snapToGrid w:val="0"/>
              <w:spacing w:line="300" w:lineRule="auto"/>
              <w:jc w:val="center"/>
              <w:rPr>
                <w:b/>
                <w:snapToGrid w:val="0"/>
                <w:kern w:val="0"/>
              </w:rPr>
            </w:pPr>
            <w:r>
              <w:rPr>
                <w:rFonts w:hint="eastAsia"/>
                <w:b/>
                <w:snapToGrid w:val="0"/>
                <w:kern w:val="0"/>
              </w:rPr>
              <w:t>费用</w:t>
            </w:r>
            <w:r>
              <w:rPr>
                <w:b/>
                <w:snapToGrid w:val="0"/>
                <w:kern w:val="0"/>
              </w:rPr>
              <w:t>（单位：</w:t>
            </w:r>
            <w:r>
              <w:rPr>
                <w:rFonts w:hint="eastAsia"/>
                <w:b/>
                <w:snapToGrid w:val="0"/>
                <w:kern w:val="0"/>
              </w:rPr>
              <w:t>人民币</w:t>
            </w:r>
            <w:r>
              <w:rPr>
                <w:b/>
                <w:snapToGrid w:val="0"/>
                <w:kern w:val="0"/>
              </w:rPr>
              <w:t>元）</w:t>
            </w:r>
          </w:p>
        </w:tc>
        <w:tc>
          <w:tcPr>
            <w:tcW w:w="2376" w:type="dxa"/>
            <w:vAlign w:val="center"/>
          </w:tcPr>
          <w:p>
            <w:pPr>
              <w:adjustRightInd w:val="0"/>
              <w:snapToGrid w:val="0"/>
              <w:spacing w:line="300" w:lineRule="auto"/>
              <w:jc w:val="center"/>
              <w:rPr>
                <w:b/>
                <w:snapToGrid w:val="0"/>
                <w:kern w:val="0"/>
              </w:rPr>
            </w:pPr>
            <w:r>
              <w:rPr>
                <w:rFonts w:hint="eastAsia"/>
                <w:b/>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ascii="宋体" w:hAnsi="宋体"/>
                <w:snapToGrid w:val="0"/>
                <w:kern w:val="0"/>
              </w:rPr>
              <w:t>1</w:t>
            </w:r>
          </w:p>
        </w:tc>
        <w:tc>
          <w:tcPr>
            <w:tcW w:w="3588" w:type="dxa"/>
            <w:vAlign w:val="center"/>
          </w:tcPr>
          <w:p>
            <w:pPr>
              <w:adjustRightInd w:val="0"/>
              <w:snapToGrid w:val="0"/>
              <w:spacing w:line="300" w:lineRule="auto"/>
              <w:rPr>
                <w:rFonts w:ascii="宋体" w:hAnsi="宋体"/>
                <w:snapToGrid w:val="0"/>
                <w:kern w:val="0"/>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2</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3</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4</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4565" w:type="dxa"/>
            <w:gridSpan w:val="2"/>
            <w:vAlign w:val="center"/>
          </w:tcPr>
          <w:p>
            <w:pPr>
              <w:adjustRightInd w:val="0"/>
              <w:snapToGrid w:val="0"/>
              <w:spacing w:line="300" w:lineRule="auto"/>
              <w:jc w:val="center"/>
              <w:rPr>
                <w:snapToGrid w:val="0"/>
                <w:kern w:val="0"/>
              </w:rPr>
            </w:pPr>
            <w:r>
              <w:rPr>
                <w:snapToGrid w:val="0"/>
                <w:kern w:val="0"/>
              </w:rPr>
              <w:t>合   计</w:t>
            </w: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bl>
    <w:p>
      <w:pPr>
        <w:adjustRightInd w:val="0"/>
        <w:snapToGrid w:val="0"/>
        <w:spacing w:line="300" w:lineRule="auto"/>
        <w:rPr>
          <w:snapToGrid w:val="0"/>
          <w:kern w:val="0"/>
        </w:rPr>
      </w:pPr>
    </w:p>
    <w:p>
      <w:pPr>
        <w:spacing w:before="156" w:beforeLines="50" w:after="156" w:afterLines="50"/>
        <w:rPr>
          <w:rFonts w:ascii="宋体" w:hAnsi="宋体"/>
          <w:szCs w:val="21"/>
        </w:rPr>
      </w:pPr>
      <w:r>
        <w:rPr>
          <w:rFonts w:hint="eastAsia" w:ascii="宋体" w:hAnsi="宋体"/>
          <w:szCs w:val="21"/>
        </w:rPr>
        <w:t>备注：1、</w:t>
      </w:r>
      <w:r>
        <w:rPr>
          <w:rFonts w:hint="eastAsia" w:ascii="宋体" w:hAnsi="宋体"/>
          <w:bCs/>
          <w:szCs w:val="21"/>
        </w:rPr>
        <w:t>本表格仅为指导性范本，供应商可根据项目具体情况对各分项内容进行调整。</w:t>
      </w:r>
    </w:p>
    <w:p>
      <w:pPr>
        <w:adjustRightInd w:val="0"/>
        <w:spacing w:before="156" w:beforeLines="50" w:after="156" w:afterLines="50"/>
        <w:jc w:val="left"/>
        <w:rPr>
          <w:snapToGrid w:val="0"/>
          <w:kern w:val="0"/>
          <w:szCs w:val="21"/>
        </w:rPr>
      </w:pPr>
      <w:r>
        <w:rPr>
          <w:rFonts w:hint="eastAsia" w:ascii="宋体" w:hAnsi="宋体"/>
          <w:szCs w:val="21"/>
        </w:rPr>
        <w:t xml:space="preserve">      2、</w:t>
      </w:r>
      <w:r>
        <w:rPr>
          <w:rFonts w:hint="eastAsia" w:asciiTheme="minorEastAsia" w:hAnsiTheme="minorEastAsia" w:eastAsiaTheme="minorEastAsia"/>
        </w:rPr>
        <w:t>开标一览表中的投标</w:t>
      </w:r>
      <w:r>
        <w:rPr>
          <w:rFonts w:hint="eastAsia"/>
          <w:snapToGrid w:val="0"/>
          <w:kern w:val="0"/>
        </w:rPr>
        <w:t>总</w:t>
      </w:r>
      <w:r>
        <w:rPr>
          <w:rFonts w:hint="eastAsia" w:asciiTheme="minorEastAsia" w:hAnsiTheme="minorEastAsia" w:eastAsiaTheme="minorEastAsia"/>
        </w:rPr>
        <w:t>价应与本表中的报价合计金额一致</w:t>
      </w:r>
      <w:r>
        <w:rPr>
          <w:rFonts w:hint="eastAsia" w:ascii="宋体" w:hAnsi="宋体"/>
          <w:szCs w:val="21"/>
        </w:rPr>
        <w:t>。</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
      <w:pPr>
        <w:pStyle w:val="28"/>
        <w:adjustRightInd w:val="0"/>
        <w:snapToGrid w:val="0"/>
        <w:spacing w:line="312" w:lineRule="auto"/>
        <w:jc w:val="center"/>
        <w:rPr>
          <w:rFonts w:ascii="Times New Roman" w:hAnsi="Times New Roman"/>
          <w:b/>
          <w:sz w:val="28"/>
        </w:rPr>
      </w:pPr>
    </w:p>
    <w:p/>
    <w:p/>
    <w:p/>
    <w:p/>
    <w:p/>
    <w:p/>
    <w:p/>
    <w:p/>
    <w:p>
      <w:pPr>
        <w:widowControl/>
        <w:jc w:val="left"/>
      </w:pPr>
    </w:p>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71" w:name="_Toc44690708"/>
      <w:bookmarkStart w:id="72" w:name="_Toc44691167"/>
      <w:bookmarkStart w:id="73" w:name="_Toc44690435"/>
      <w:bookmarkStart w:id="74" w:name="_Toc44691399"/>
      <w:r>
        <w:rPr>
          <w:rFonts w:hint="eastAsia" w:asciiTheme="minorEastAsia" w:hAnsiTheme="minorEastAsia" w:eastAsiaTheme="minorEastAsia"/>
          <w:sz w:val="24"/>
        </w:rPr>
        <w:t>格式6  服务方案</w:t>
      </w:r>
      <w:bookmarkEnd w:id="71"/>
      <w:bookmarkEnd w:id="72"/>
      <w:bookmarkEnd w:id="73"/>
      <w:bookmarkEnd w:id="74"/>
    </w:p>
    <w:p>
      <w:pPr>
        <w:pStyle w:val="8"/>
      </w:pPr>
    </w:p>
    <w:p>
      <w:pPr>
        <w:spacing w:line="400" w:lineRule="exact"/>
        <w:ind w:firstLine="422" w:firstLineChars="200"/>
        <w:rPr>
          <w:rFonts w:ascii="宋体" w:hAnsi="宋体"/>
          <w:b/>
          <w:szCs w:val="21"/>
        </w:rPr>
      </w:pPr>
      <w:r>
        <w:rPr>
          <w:rFonts w:hint="eastAsia" w:ascii="宋体" w:hAnsi="宋体"/>
          <w:b/>
          <w:szCs w:val="21"/>
        </w:rPr>
        <w:t>本部分内容是投标人根据项目需求对其投标服务方案的详细描述，主要包括服务方案及拟投入本项目的人员配置等，投标单位自主编写，但应包含下列内容：</w:t>
      </w:r>
    </w:p>
    <w:p>
      <w:pPr>
        <w:spacing w:line="400" w:lineRule="exact"/>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1、</w:t>
      </w:r>
      <w:r>
        <w:rPr>
          <w:rFonts w:hint="eastAsia" w:ascii="宋体" w:hAnsi="宋体" w:cs="宋体"/>
          <w:szCs w:val="21"/>
        </w:rPr>
        <w:t>项目维护方案</w:t>
      </w:r>
    </w:p>
    <w:p>
      <w:pPr>
        <w:spacing w:line="360" w:lineRule="auto"/>
        <w:ind w:firstLine="420" w:firstLineChars="200"/>
        <w:rPr>
          <w:rFonts w:ascii="宋体" w:hAnsi="宋体" w:cs="宋体"/>
          <w:szCs w:val="21"/>
        </w:rPr>
      </w:pPr>
      <w:r>
        <w:rPr>
          <w:rFonts w:hint="eastAsia" w:ascii="宋体" w:hAnsi="宋体"/>
          <w:szCs w:val="21"/>
        </w:rPr>
        <w:t>2、同类项目业绩情况</w:t>
      </w:r>
    </w:p>
    <w:p>
      <w:pPr>
        <w:spacing w:line="360" w:lineRule="auto"/>
        <w:ind w:firstLine="420" w:firstLineChars="200"/>
        <w:rPr>
          <w:rFonts w:ascii="宋体" w:hAnsi="宋体" w:cs="宋体"/>
          <w:szCs w:val="21"/>
        </w:rPr>
      </w:pPr>
      <w:r>
        <w:rPr>
          <w:rFonts w:hint="eastAsia" w:ascii="宋体" w:hAnsi="宋体" w:cs="宋体"/>
          <w:szCs w:val="21"/>
        </w:rPr>
        <w:t>3、</w:t>
      </w:r>
      <w:r>
        <w:rPr>
          <w:rFonts w:hint="eastAsia" w:ascii="宋体" w:hAnsi="宋体"/>
          <w:szCs w:val="21"/>
        </w:rPr>
        <w:t>相关认证情况</w:t>
      </w:r>
    </w:p>
    <w:p>
      <w:pPr>
        <w:spacing w:line="360" w:lineRule="auto"/>
        <w:ind w:firstLine="420" w:firstLineChars="200"/>
        <w:rPr>
          <w:sz w:val="22"/>
          <w:szCs w:val="21"/>
        </w:rPr>
      </w:pPr>
      <w:r>
        <w:rPr>
          <w:rFonts w:hint="eastAsia" w:ascii="宋体" w:hAnsi="宋体" w:cs="宋体"/>
          <w:szCs w:val="21"/>
        </w:rPr>
        <w:t>4、</w:t>
      </w:r>
      <w:r>
        <w:rPr>
          <w:rFonts w:hint="eastAsia"/>
          <w:sz w:val="22"/>
          <w:szCs w:val="21"/>
        </w:rPr>
        <w:t>拟安排的项目负责人</w:t>
      </w:r>
    </w:p>
    <w:p>
      <w:pPr>
        <w:spacing w:line="360" w:lineRule="auto"/>
        <w:ind w:firstLine="440" w:firstLineChars="200"/>
        <w:rPr>
          <w:rFonts w:ascii="宋体" w:hAnsi="宋体" w:cs="宋体"/>
          <w:szCs w:val="21"/>
        </w:rPr>
      </w:pPr>
      <w:r>
        <w:rPr>
          <w:rFonts w:hint="eastAsia" w:ascii="宋体" w:hAnsi="宋体" w:cs="宋体"/>
          <w:sz w:val="22"/>
          <w:szCs w:val="21"/>
        </w:rPr>
        <w:t>5</w:t>
      </w:r>
      <w:r>
        <w:rPr>
          <w:rFonts w:hint="eastAsia"/>
          <w:sz w:val="22"/>
          <w:szCs w:val="21"/>
        </w:rPr>
        <w:t>、拟安排的项目团队人员情况</w:t>
      </w:r>
    </w:p>
    <w:p>
      <w:pPr>
        <w:spacing w:line="360" w:lineRule="auto"/>
        <w:ind w:firstLine="420" w:firstLineChars="200"/>
        <w:rPr>
          <w:rFonts w:ascii="宋体" w:hAnsi="宋体"/>
          <w:szCs w:val="21"/>
        </w:rPr>
      </w:pPr>
      <w:r>
        <w:rPr>
          <w:rFonts w:hint="eastAsia" w:ascii="宋体" w:hAnsi="宋体"/>
          <w:szCs w:val="21"/>
        </w:rPr>
        <w:t>6、服务网点（营业执照或承诺函）</w:t>
      </w:r>
    </w:p>
    <w:p>
      <w:pPr>
        <w:spacing w:line="360" w:lineRule="auto"/>
        <w:ind w:left="420"/>
        <w:rPr>
          <w:rFonts w:ascii="宋体" w:hAnsi="宋体"/>
          <w:bCs/>
        </w:rPr>
      </w:pPr>
      <w:r>
        <w:rPr>
          <w:rFonts w:hint="eastAsia" w:ascii="宋体" w:hAnsi="宋体"/>
          <w:bCs/>
        </w:rPr>
        <w:t>7、招标文件要求的其他资料或投标人认为需要补充的资料</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left"/>
        <w:rPr>
          <w:snapToGrid w:val="0"/>
          <w:kern w:val="0"/>
        </w:rPr>
      </w:pPr>
    </w:p>
    <w:p>
      <w:pPr>
        <w:tabs>
          <w:tab w:val="left" w:pos="8248"/>
          <w:tab w:val="left" w:pos="9368"/>
        </w:tabs>
        <w:spacing w:line="360" w:lineRule="auto"/>
      </w:pPr>
    </w:p>
    <w:p>
      <w:pPr>
        <w:tabs>
          <w:tab w:val="left" w:pos="8248"/>
          <w:tab w:val="left" w:pos="9368"/>
        </w:tabs>
        <w:spacing w:line="360" w:lineRule="auto"/>
      </w:pPr>
    </w:p>
    <w:p>
      <w:pPr>
        <w:tabs>
          <w:tab w:val="left" w:pos="8248"/>
          <w:tab w:val="left" w:pos="9368"/>
        </w:tabs>
        <w:spacing w:line="360" w:lineRule="auto"/>
      </w:pPr>
    </w:p>
    <w:p>
      <w:pPr>
        <w:tabs>
          <w:tab w:val="left" w:pos="8248"/>
          <w:tab w:val="left" w:pos="9368"/>
        </w:tabs>
        <w:spacing w:line="360" w:lineRule="auto"/>
      </w:pPr>
      <w:r>
        <w:rPr>
          <w:rFonts w:hint="eastAsia"/>
        </w:rPr>
        <w:t>附表：</w:t>
      </w:r>
    </w:p>
    <w:p>
      <w:pPr>
        <w:pStyle w:val="359"/>
        <w:jc w:val="center"/>
        <w:rPr>
          <w:rFonts w:ascii="仿宋" w:hAnsi="仿宋" w:eastAsia="仿宋"/>
          <w:b/>
          <w:snapToGrid w:val="0"/>
          <w:sz w:val="28"/>
          <w:szCs w:val="28"/>
        </w:rPr>
      </w:pPr>
      <w:r>
        <w:rPr>
          <w:rFonts w:hint="eastAsia" w:ascii="仿宋" w:hAnsi="仿宋" w:eastAsia="仿宋"/>
          <w:b/>
          <w:snapToGrid w:val="0"/>
          <w:sz w:val="28"/>
          <w:szCs w:val="28"/>
        </w:rPr>
        <w:t>项目人员情况一览表</w:t>
      </w:r>
    </w:p>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4" w:type="dxa"/>
          <w:bottom w:w="0" w:type="dxa"/>
          <w:right w:w="54" w:type="dxa"/>
        </w:tblCellMar>
      </w:tblPr>
      <w:tblGrid>
        <w:gridCol w:w="705"/>
        <w:gridCol w:w="1491"/>
        <w:gridCol w:w="851"/>
        <w:gridCol w:w="567"/>
        <w:gridCol w:w="1308"/>
        <w:gridCol w:w="1544"/>
        <w:gridCol w:w="1260"/>
        <w:gridCol w:w="16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402" w:hRule="atLeast"/>
          <w:jc w:val="center"/>
        </w:trPr>
        <w:tc>
          <w:tcPr>
            <w:tcW w:w="705" w:type="dxa"/>
            <w:vAlign w:val="center"/>
          </w:tcPr>
          <w:p>
            <w:pPr>
              <w:jc w:val="center"/>
              <w:rPr>
                <w:rFonts w:ascii="宋体" w:hAnsi="宋体" w:cs="Courier New"/>
                <w:snapToGrid w:val="0"/>
                <w:szCs w:val="21"/>
              </w:rPr>
            </w:pPr>
            <w:r>
              <w:rPr>
                <w:rFonts w:hint="eastAsia" w:ascii="宋体" w:hAnsi="宋体" w:cs="Courier New"/>
                <w:snapToGrid w:val="0"/>
                <w:szCs w:val="21"/>
              </w:rPr>
              <w:t>序号</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w:t>
            </w:r>
          </w:p>
        </w:tc>
        <w:tc>
          <w:tcPr>
            <w:tcW w:w="851" w:type="dxa"/>
            <w:vAlign w:val="center"/>
          </w:tcPr>
          <w:p>
            <w:pPr>
              <w:jc w:val="center"/>
              <w:rPr>
                <w:rFonts w:ascii="宋体" w:hAnsi="宋体" w:cs="Courier New"/>
                <w:snapToGrid w:val="0"/>
                <w:szCs w:val="21"/>
              </w:rPr>
            </w:pPr>
            <w:r>
              <w:rPr>
                <w:rFonts w:hint="eastAsia" w:ascii="宋体" w:hAnsi="宋体" w:cs="Courier New"/>
                <w:snapToGrid w:val="0"/>
                <w:szCs w:val="21"/>
              </w:rPr>
              <w:t>姓名</w:t>
            </w:r>
          </w:p>
        </w:tc>
        <w:tc>
          <w:tcPr>
            <w:tcW w:w="567" w:type="dxa"/>
            <w:vAlign w:val="center"/>
          </w:tcPr>
          <w:p>
            <w:pPr>
              <w:jc w:val="center"/>
              <w:rPr>
                <w:rFonts w:ascii="宋体" w:hAnsi="宋体" w:cs="Courier New"/>
                <w:snapToGrid w:val="0"/>
                <w:szCs w:val="21"/>
              </w:rPr>
            </w:pPr>
            <w:r>
              <w:rPr>
                <w:rFonts w:hint="eastAsia" w:ascii="宋体" w:hAnsi="宋体" w:cs="Courier New"/>
                <w:snapToGrid w:val="0"/>
                <w:szCs w:val="21"/>
              </w:rPr>
              <w:t>学历</w:t>
            </w:r>
          </w:p>
        </w:tc>
        <w:tc>
          <w:tcPr>
            <w:tcW w:w="1308" w:type="dxa"/>
            <w:vAlign w:val="center"/>
          </w:tcPr>
          <w:p>
            <w:pPr>
              <w:jc w:val="center"/>
              <w:rPr>
                <w:rFonts w:ascii="宋体" w:hAnsi="宋体" w:cs="Courier New"/>
                <w:snapToGrid w:val="0"/>
                <w:szCs w:val="21"/>
              </w:rPr>
            </w:pPr>
            <w:r>
              <w:rPr>
                <w:rFonts w:hint="eastAsia" w:ascii="宋体" w:hAnsi="宋体" w:cs="Courier New"/>
                <w:snapToGrid w:val="0"/>
                <w:szCs w:val="21"/>
              </w:rPr>
              <w:t>岗位及职务</w:t>
            </w:r>
          </w:p>
        </w:tc>
        <w:tc>
          <w:tcPr>
            <w:tcW w:w="1544" w:type="dxa"/>
            <w:vAlign w:val="center"/>
          </w:tcPr>
          <w:p>
            <w:pPr>
              <w:ind w:right="-53" w:rightChars="-25"/>
              <w:jc w:val="center"/>
              <w:rPr>
                <w:rFonts w:ascii="宋体" w:hAnsi="宋体" w:cs="Courier New"/>
                <w:snapToGrid w:val="0"/>
                <w:szCs w:val="21"/>
              </w:rPr>
            </w:pPr>
            <w:r>
              <w:rPr>
                <w:rFonts w:hint="eastAsia" w:ascii="宋体" w:hAnsi="宋体" w:cs="Courier New"/>
                <w:snapToGrid w:val="0"/>
                <w:szCs w:val="21"/>
              </w:rPr>
              <w:t>持何种资格证件</w:t>
            </w:r>
          </w:p>
        </w:tc>
        <w:tc>
          <w:tcPr>
            <w:tcW w:w="1260" w:type="dxa"/>
            <w:vAlign w:val="center"/>
          </w:tcPr>
          <w:p>
            <w:pPr>
              <w:jc w:val="center"/>
              <w:rPr>
                <w:rFonts w:ascii="宋体" w:hAnsi="宋体" w:cs="Courier New"/>
                <w:snapToGrid w:val="0"/>
                <w:szCs w:val="21"/>
              </w:rPr>
            </w:pPr>
            <w:r>
              <w:rPr>
                <w:rFonts w:hint="eastAsia" w:ascii="宋体" w:hAnsi="宋体" w:cs="Courier New"/>
                <w:snapToGrid w:val="0"/>
                <w:szCs w:val="21"/>
              </w:rPr>
              <w:t>发证时间</w:t>
            </w:r>
          </w:p>
        </w:tc>
        <w:tc>
          <w:tcPr>
            <w:tcW w:w="1620" w:type="dxa"/>
            <w:vAlign w:val="center"/>
          </w:tcPr>
          <w:p>
            <w:pPr>
              <w:jc w:val="center"/>
              <w:rPr>
                <w:rFonts w:ascii="宋体" w:hAnsi="宋体" w:cs="Courier New"/>
                <w:snapToGrid w:val="0"/>
                <w:szCs w:val="21"/>
              </w:rPr>
            </w:pPr>
            <w:r>
              <w:rPr>
                <w:rFonts w:hint="eastAsia" w:ascii="宋体" w:hAnsi="宋体" w:cs="Courier New"/>
                <w:snapToGrid w:val="0"/>
                <w:szCs w:val="21"/>
              </w:rPr>
              <w:t>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680" w:hRule="exact"/>
          <w:jc w:val="center"/>
        </w:trPr>
        <w:tc>
          <w:tcPr>
            <w:tcW w:w="705" w:type="dxa"/>
            <w:vAlign w:val="center"/>
          </w:tcPr>
          <w:p>
            <w:pPr>
              <w:jc w:val="center"/>
              <w:rPr>
                <w:rFonts w:ascii="宋体" w:hAnsi="宋体" w:cs="Courier New"/>
                <w:snapToGrid w:val="0"/>
                <w:szCs w:val="21"/>
              </w:rPr>
            </w:pPr>
            <w:r>
              <w:rPr>
                <w:rFonts w:ascii="宋体" w:hAnsi="宋体" w:cs="Courier New"/>
                <w:snapToGrid w:val="0"/>
                <w:szCs w:val="21"/>
              </w:rPr>
              <w:t>1</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项目负责人</w:t>
            </w:r>
          </w:p>
        </w:tc>
        <w:tc>
          <w:tcPr>
            <w:tcW w:w="851" w:type="dxa"/>
            <w:vAlign w:val="center"/>
          </w:tcPr>
          <w:p>
            <w:pPr>
              <w:rPr>
                <w:rFonts w:ascii="宋体" w:hAnsi="宋体" w:cs="Courier New"/>
                <w:snapToGrid w:val="0"/>
                <w:szCs w:val="21"/>
              </w:rPr>
            </w:pPr>
          </w:p>
        </w:tc>
        <w:tc>
          <w:tcPr>
            <w:tcW w:w="567" w:type="dxa"/>
            <w:vAlign w:val="center"/>
          </w:tcPr>
          <w:p>
            <w:pPr>
              <w:rPr>
                <w:rFonts w:ascii="宋体" w:hAnsi="宋体" w:cs="Courier New"/>
                <w:snapToGrid w:val="0"/>
                <w:szCs w:val="21"/>
              </w:rPr>
            </w:pPr>
          </w:p>
        </w:tc>
        <w:tc>
          <w:tcPr>
            <w:tcW w:w="1308" w:type="dxa"/>
            <w:vAlign w:val="center"/>
          </w:tcPr>
          <w:p>
            <w:pPr>
              <w:rPr>
                <w:rFonts w:ascii="宋体" w:hAnsi="宋体" w:cs="Courier New"/>
                <w:snapToGrid w:val="0"/>
                <w:szCs w:val="21"/>
              </w:rPr>
            </w:pPr>
          </w:p>
        </w:tc>
        <w:tc>
          <w:tcPr>
            <w:tcW w:w="1544" w:type="dxa"/>
            <w:vAlign w:val="center"/>
          </w:tcPr>
          <w:p>
            <w:pPr>
              <w:rPr>
                <w:rFonts w:ascii="宋体" w:hAnsi="宋体" w:cs="Courier New"/>
                <w:snapToGrid w:val="0"/>
                <w:szCs w:val="21"/>
              </w:rPr>
            </w:pPr>
          </w:p>
        </w:tc>
        <w:tc>
          <w:tcPr>
            <w:tcW w:w="1260" w:type="dxa"/>
            <w:vAlign w:val="center"/>
          </w:tcPr>
          <w:p>
            <w:pPr>
              <w:rPr>
                <w:rFonts w:ascii="宋体" w:hAnsi="宋体" w:cs="Courier New"/>
                <w:snapToGrid w:val="0"/>
                <w:szCs w:val="21"/>
              </w:rPr>
            </w:pPr>
          </w:p>
        </w:tc>
        <w:tc>
          <w:tcPr>
            <w:tcW w:w="1620" w:type="dxa"/>
            <w:vAlign w:val="center"/>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2</w:t>
            </w:r>
          </w:p>
        </w:tc>
        <w:tc>
          <w:tcPr>
            <w:tcW w:w="1491" w:type="dxa"/>
            <w:vMerge w:val="restart"/>
            <w:vAlign w:val="center"/>
          </w:tcPr>
          <w:p>
            <w:pPr>
              <w:jc w:val="center"/>
              <w:rPr>
                <w:rFonts w:ascii="宋体" w:hAnsi="宋体" w:cs="Courier New"/>
                <w:snapToGrid w:val="0"/>
                <w:szCs w:val="21"/>
              </w:rPr>
            </w:pPr>
            <w:r>
              <w:rPr>
                <w:rFonts w:hint="eastAsia" w:ascii="宋体" w:hAnsi="宋体" w:cs="Courier New"/>
                <w:snapToGrid w:val="0"/>
                <w:szCs w:val="21"/>
              </w:rPr>
              <w:t>项目团队成员</w:t>
            </w: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3</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4</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5</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6</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7</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8</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9</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bl>
    <w:p>
      <w:pPr>
        <w:autoSpaceDE w:val="0"/>
        <w:autoSpaceDN w:val="0"/>
        <w:adjustRightInd w:val="0"/>
        <w:spacing w:line="360" w:lineRule="auto"/>
        <w:rPr>
          <w:rFonts w:ascii="宋体" w:hAnsi="宋体"/>
          <w:szCs w:val="21"/>
          <w:lang w:val="zh-CN"/>
        </w:rPr>
      </w:pPr>
      <w:r>
        <w:rPr>
          <w:rFonts w:hint="eastAsia" w:ascii="宋体" w:hAnsi="宋体"/>
          <w:szCs w:val="21"/>
          <w:lang w:val="zh-CN"/>
        </w:rPr>
        <w:t xml:space="preserve">注： </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1、填写时，如本表格不适合投标单位的实际情况，可根据本表格格式自行划表填写。</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2、有关人员简历及资格证书及其它证明材料（复印件或扫描件加盖公章）需附在本表之后。</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3、本表格所要求填写的人员是指投标单位将安排在此项目的具体人员。</w:t>
      </w:r>
    </w:p>
    <w:p>
      <w:pPr>
        <w:spacing w:line="360" w:lineRule="auto"/>
        <w:rPr>
          <w:rFonts w:cs="Courier New"/>
          <w:snapToGrid w:val="0"/>
          <w:szCs w:val="18"/>
        </w:rPr>
      </w:pPr>
    </w:p>
    <w:p>
      <w:pPr>
        <w:spacing w:line="360" w:lineRule="auto"/>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pStyle w:val="28"/>
        <w:adjustRightInd w:val="0"/>
        <w:snapToGrid w:val="0"/>
        <w:spacing w:line="312" w:lineRule="auto"/>
        <w:jc w:val="center"/>
        <w:rPr>
          <w:rFonts w:ascii="Times New Roman" w:hAnsi="Times New Roman"/>
          <w:b/>
          <w:sz w:val="28"/>
        </w:rPr>
      </w:pPr>
    </w:p>
    <w:p/>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asciiTheme="minorEastAsia" w:hAnsiTheme="minorEastAsia" w:eastAsiaTheme="minorEastAsia"/>
          <w:sz w:val="24"/>
        </w:rPr>
        <w:t>格式</w:t>
      </w:r>
      <w:r>
        <w:rPr>
          <w:rFonts w:hint="eastAsia" w:asciiTheme="minorEastAsia" w:hAnsiTheme="minorEastAsia" w:eastAsiaTheme="minorEastAsia"/>
          <w:sz w:val="24"/>
        </w:rPr>
        <w:t>7</w:t>
      </w:r>
      <w:r>
        <w:rPr>
          <w:rFonts w:asciiTheme="minorEastAsia" w:hAnsiTheme="minorEastAsia" w:eastAsiaTheme="minorEastAsia"/>
          <w:sz w:val="24"/>
        </w:rPr>
        <w:t xml:space="preserve">  </w:t>
      </w:r>
      <w:r>
        <w:rPr>
          <w:rFonts w:hint="eastAsia" w:asciiTheme="minorEastAsia" w:hAnsiTheme="minorEastAsia" w:eastAsiaTheme="minorEastAsia"/>
          <w:sz w:val="24"/>
        </w:rPr>
        <w:t>投标人资格声明</w:t>
      </w:r>
    </w:p>
    <w:p/>
    <w:p>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hint="eastAsia" w:ascii="宋体" w:hAnsi="宋体"/>
          <w:bCs/>
          <w:snapToGrid w:val="0"/>
          <w:kern w:val="0"/>
        </w:rPr>
        <w:t>；</w:t>
      </w:r>
    </w:p>
    <w:p>
      <w:pPr>
        <w:adjustRightInd w:val="0"/>
        <w:snapToGrid w:val="0"/>
        <w:spacing w:line="360" w:lineRule="auto"/>
        <w:rPr>
          <w:rFonts w:ascii="宋体" w:hAnsi="宋体"/>
          <w:bCs/>
          <w:snapToGrid w:val="0"/>
          <w:kern w:val="0"/>
        </w:rPr>
      </w:pPr>
      <w:r>
        <w:rPr>
          <w:rFonts w:hint="eastAsia" w:ascii="宋体" w:hAnsi="宋体"/>
          <w:bCs/>
          <w:snapToGrid w:val="0"/>
          <w:kern w:val="0"/>
        </w:rPr>
        <w:t>2、投标人基本情况简介，格式自拟，包括但不限于经营范围、依法纳税记录等；</w:t>
      </w: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3、</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pStyle w:val="5"/>
        <w:spacing w:before="0"/>
        <w:rPr>
          <w:rFonts w:ascii="宋体" w:hAnsi="宋体"/>
          <w:sz w:val="28"/>
        </w:rPr>
      </w:pPr>
    </w:p>
    <w:p/>
    <w:p/>
    <w:p/>
    <w:p/>
    <w:p/>
    <w:p/>
    <w:p/>
    <w:p/>
    <w:p/>
    <w:p/>
    <w:p/>
    <w:p/>
    <w:p/>
    <w:p/>
    <w:p/>
    <w:p/>
    <w:p/>
    <w:p/>
    <w:p/>
    <w:p/>
    <w:p/>
    <w:p/>
    <w:p/>
    <w:p/>
    <w:p/>
    <w:p/>
    <w:p/>
    <w:p/>
    <w:p/>
    <w:p/>
    <w:p/>
    <w:p>
      <w:pPr>
        <w:widowControl/>
        <w:jc w:val="left"/>
      </w:pPr>
      <w:r>
        <w:br w:type="page"/>
      </w:r>
    </w:p>
    <w:p/>
    <w:p>
      <w:pPr>
        <w:jc w:val="center"/>
        <w:rPr>
          <w:b/>
          <w:bCs/>
          <w:sz w:val="28"/>
        </w:rPr>
      </w:pPr>
      <w:r>
        <w:rPr>
          <w:rFonts w:hint="eastAsia"/>
          <w:b/>
          <w:bCs/>
          <w:sz w:val="28"/>
        </w:rPr>
        <w:t>投标人资格声明</w:t>
      </w:r>
    </w:p>
    <w:p>
      <w:pPr>
        <w:snapToGrid w:val="0"/>
        <w:spacing w:line="300" w:lineRule="auto"/>
        <w:rPr>
          <w:rFonts w:ascii="宋体" w:hAnsi="宋体"/>
        </w:rPr>
      </w:pPr>
    </w:p>
    <w:p>
      <w:pPr>
        <w:snapToGrid w:val="0"/>
        <w:spacing w:line="300" w:lineRule="auto"/>
        <w:rPr>
          <w:rFonts w:ascii="宋体" w:hAnsi="宋体"/>
        </w:rPr>
      </w:pPr>
      <w:r>
        <w:rPr>
          <w:rFonts w:hint="eastAsia" w:ascii="宋体" w:hAnsi="宋体"/>
        </w:rPr>
        <w:t>1、名称及其它情况：</w:t>
      </w:r>
    </w:p>
    <w:p>
      <w:pPr>
        <w:snapToGrid w:val="0"/>
        <w:spacing w:line="300" w:lineRule="auto"/>
        <w:ind w:left="420"/>
        <w:rPr>
          <w:rFonts w:ascii="宋体" w:hAnsi="宋体"/>
          <w:u w:val="single"/>
        </w:rPr>
      </w:pPr>
      <w:r>
        <w:rPr>
          <w:rFonts w:hint="eastAsia" w:ascii="宋体" w:hAnsi="宋体"/>
        </w:rPr>
        <w:t>⑴、名称：</w:t>
      </w:r>
      <w:r>
        <w:rPr>
          <w:rFonts w:hint="eastAsia" w:ascii="宋体" w:hAnsi="宋体"/>
          <w:u w:val="single"/>
        </w:rPr>
        <w:t xml:space="preserve">                                 </w:t>
      </w:r>
    </w:p>
    <w:p>
      <w:pPr>
        <w:snapToGrid w:val="0"/>
        <w:spacing w:line="300" w:lineRule="auto"/>
        <w:ind w:left="420"/>
        <w:rPr>
          <w:rFonts w:ascii="宋体" w:hAnsi="宋体"/>
          <w:bCs/>
        </w:rPr>
      </w:pPr>
      <w:r>
        <w:rPr>
          <w:rFonts w:hint="eastAsia" w:ascii="宋体" w:hAnsi="宋体"/>
          <w:bCs/>
        </w:rPr>
        <w:t>⑵、地址：</w:t>
      </w:r>
      <w:r>
        <w:rPr>
          <w:rFonts w:hint="eastAsia" w:ascii="宋体" w:hAnsi="宋体"/>
          <w:b/>
          <w:u w:val="single"/>
        </w:rPr>
        <w:t xml:space="preserve">                                        </w:t>
      </w:r>
      <w:r>
        <w:rPr>
          <w:rFonts w:hint="eastAsia" w:ascii="宋体" w:hAnsi="宋体"/>
          <w:bCs/>
          <w:u w:val="single"/>
        </w:rPr>
        <w:t xml:space="preserve"> </w:t>
      </w:r>
    </w:p>
    <w:p>
      <w:pPr>
        <w:snapToGrid w:val="0"/>
        <w:spacing w:line="300" w:lineRule="auto"/>
        <w:ind w:left="420"/>
        <w:rPr>
          <w:rFonts w:ascii="宋体" w:hAnsi="宋体"/>
          <w:b/>
          <w:u w:val="single"/>
        </w:rPr>
      </w:pPr>
      <w:r>
        <w:rPr>
          <w:rFonts w:hint="eastAsia" w:ascii="宋体" w:hAnsi="宋体"/>
          <w:bCs/>
        </w:rPr>
        <w:t>⑶、成立和/或注册日期：</w:t>
      </w:r>
      <w:r>
        <w:rPr>
          <w:rFonts w:hint="eastAsia" w:ascii="宋体" w:hAnsi="宋体"/>
          <w:b/>
          <w:u w:val="single"/>
        </w:rPr>
        <w:t xml:space="preserve">                            </w:t>
      </w:r>
    </w:p>
    <w:p>
      <w:pPr>
        <w:snapToGrid w:val="0"/>
        <w:spacing w:line="300" w:lineRule="auto"/>
        <w:ind w:firstLine="420" w:firstLineChars="200"/>
        <w:rPr>
          <w:rFonts w:ascii="宋体" w:hAnsi="宋体"/>
          <w:b/>
          <w:u w:val="single"/>
        </w:rPr>
      </w:pPr>
      <w:r>
        <w:rPr>
          <w:rFonts w:ascii="宋体" w:hAnsi="宋体"/>
          <w:bCs/>
        </w:rPr>
        <w:fldChar w:fldCharType="begin"/>
      </w:r>
      <w:r>
        <w:rPr>
          <w:rFonts w:ascii="宋体" w:hAnsi="宋体"/>
          <w:bCs/>
        </w:rPr>
        <w:instrText xml:space="preserve"> </w:instrText>
      </w:r>
      <w:r>
        <w:rPr>
          <w:rFonts w:hint="eastAsia" w:ascii="宋体" w:hAnsi="宋体"/>
          <w:bCs/>
        </w:rPr>
        <w:instrText xml:space="preserve">= 4 \* GB2</w:instrText>
      </w:r>
      <w:r>
        <w:rPr>
          <w:rFonts w:ascii="宋体" w:hAnsi="宋体"/>
          <w:bCs/>
        </w:rPr>
        <w:instrText xml:space="preserve"> </w:instrText>
      </w:r>
      <w:r>
        <w:rPr>
          <w:rFonts w:ascii="宋体" w:hAnsi="宋体"/>
          <w:bCs/>
        </w:rPr>
        <w:fldChar w:fldCharType="separate"/>
      </w:r>
      <w:r>
        <w:rPr>
          <w:rFonts w:hint="eastAsia" w:ascii="宋体" w:hAnsi="宋体"/>
          <w:bCs/>
        </w:rPr>
        <w:t>⑷</w:t>
      </w:r>
      <w:r>
        <w:rPr>
          <w:rFonts w:ascii="宋体" w:hAnsi="宋体"/>
          <w:bCs/>
        </w:rPr>
        <w:fldChar w:fldCharType="end"/>
      </w:r>
      <w:r>
        <w:rPr>
          <w:rFonts w:hint="eastAsia" w:ascii="宋体" w:hAnsi="宋体"/>
          <w:bCs/>
        </w:rPr>
        <w:t>、企业性质：</w:t>
      </w:r>
      <w:r>
        <w:rPr>
          <w:rFonts w:hint="eastAsia" w:ascii="宋体" w:hAnsi="宋体"/>
          <w:b/>
          <w:u w:val="single"/>
        </w:rPr>
        <w:t xml:space="preserve">                                     </w:t>
      </w:r>
    </w:p>
    <w:p>
      <w:pPr>
        <w:snapToGrid w:val="0"/>
        <w:spacing w:line="300" w:lineRule="auto"/>
        <w:ind w:left="708" w:hanging="707" w:hangingChars="337"/>
        <w:rPr>
          <w:rFonts w:ascii="宋体" w:hAnsi="宋体"/>
          <w:bCs/>
        </w:rPr>
      </w:pPr>
      <w:r>
        <w:rPr>
          <w:rFonts w:hint="eastAsia" w:ascii="宋体" w:hAnsi="宋体"/>
          <w:bCs/>
        </w:rPr>
        <w:t>2、近三年主要客户的名称和地址：</w:t>
      </w:r>
    </w:p>
    <w:p>
      <w:pPr>
        <w:snapToGrid w:val="0"/>
        <w:spacing w:line="300" w:lineRule="auto"/>
        <w:ind w:left="990"/>
        <w:rPr>
          <w:rFonts w:ascii="宋体" w:hAnsi="宋体"/>
          <w:bCs/>
        </w:rPr>
      </w:pPr>
      <w:r>
        <w:rPr>
          <w:rFonts w:hint="eastAsia" w:ascii="宋体" w:hAnsi="宋体"/>
          <w:bCs/>
        </w:rPr>
        <w:t>名称和地址                           项目名称</w:t>
      </w:r>
    </w:p>
    <w:p>
      <w:pPr>
        <w:snapToGrid w:val="0"/>
        <w:spacing w:line="300" w:lineRule="auto"/>
        <w:rPr>
          <w:rFonts w:ascii="宋体" w:hAnsi="宋体"/>
          <w:bCs/>
          <w:u w:val="single"/>
        </w:rPr>
      </w:pPr>
      <w:r>
        <w:rPr>
          <w:rFonts w:hint="eastAsia" w:ascii="宋体" w:hAnsi="宋体"/>
          <w:bCs/>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
          <w:u w:val="single"/>
        </w:rPr>
      </w:pPr>
      <w:r>
        <w:rPr>
          <w:rFonts w:hint="eastAsia" w:ascii="宋体" w:hAnsi="宋体"/>
          <w:bCs/>
        </w:rPr>
        <w:t xml:space="preserve">   </w:t>
      </w:r>
      <w:r>
        <w:rPr>
          <w:rFonts w:hint="eastAsia" w:ascii="宋体" w:hAnsi="宋体"/>
          <w:b/>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u w:val="single"/>
        </w:rPr>
      </w:pPr>
      <w:r>
        <w:rPr>
          <w:rFonts w:hint="eastAsia" w:ascii="宋体" w:hAnsi="宋体"/>
          <w:bCs/>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rPr>
        <w:t>3、近三年的营业额：</w:t>
      </w:r>
    </w:p>
    <w:p>
      <w:pPr>
        <w:snapToGrid w:val="0"/>
        <w:spacing w:line="300" w:lineRule="auto"/>
        <w:ind w:firstLine="420" w:firstLineChars="200"/>
        <w:rPr>
          <w:rFonts w:ascii="宋体" w:hAnsi="宋体"/>
          <w:bCs/>
        </w:rPr>
      </w:pPr>
      <w:r>
        <w:rPr>
          <w:rFonts w:hint="eastAsia" w:ascii="宋体" w:hAnsi="宋体"/>
          <w:bCs/>
        </w:rPr>
        <w:t>年份                国内                    国外                  总额</w:t>
      </w:r>
    </w:p>
    <w:p>
      <w:pPr>
        <w:snapToGrid w:val="0"/>
        <w:spacing w:line="300" w:lineRule="auto"/>
        <w:rPr>
          <w:rFonts w:ascii="宋体" w:hAnsi="宋体"/>
          <w:bCs/>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
          <w:u w:val="single"/>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rPr>
        <w:t>4、有关开户银行的名称和地址：</w:t>
      </w:r>
      <w:r>
        <w:rPr>
          <w:rFonts w:hint="eastAsia" w:ascii="宋体" w:hAnsi="宋体"/>
          <w:bCs/>
          <w:u w:val="single"/>
        </w:rPr>
        <w:t xml:space="preserve">                                                    </w:t>
      </w:r>
      <w:r>
        <w:rPr>
          <w:rFonts w:hint="eastAsia" w:ascii="宋体" w:hAnsi="宋体"/>
          <w:bCs/>
        </w:rPr>
        <w:t xml:space="preserve"> </w:t>
      </w:r>
    </w:p>
    <w:p>
      <w:pPr>
        <w:snapToGrid w:val="0"/>
        <w:spacing w:line="300" w:lineRule="auto"/>
        <w:rPr>
          <w:rFonts w:ascii="宋体" w:hAnsi="宋体"/>
          <w:b/>
          <w:u w:val="single"/>
        </w:rPr>
      </w:pPr>
      <w:r>
        <w:rPr>
          <w:rFonts w:hint="eastAsia" w:ascii="宋体" w:hAnsi="宋体"/>
          <w:bCs/>
        </w:rPr>
        <w:t>5、其他情况：</w:t>
      </w:r>
      <w:r>
        <w:rPr>
          <w:rFonts w:hint="eastAsia" w:ascii="宋体" w:hAnsi="宋体"/>
          <w:bCs/>
          <w:u w:val="single"/>
        </w:rPr>
        <w:t xml:space="preserve">                                                                    </w:t>
      </w:r>
    </w:p>
    <w:p>
      <w:pPr>
        <w:snapToGrid w:val="0"/>
        <w:spacing w:line="300" w:lineRule="auto"/>
        <w:ind w:left="105" w:leftChars="50" w:firstLine="472" w:firstLineChars="225"/>
        <w:rPr>
          <w:rFonts w:ascii="宋体" w:hAnsi="宋体"/>
          <w:bCs/>
        </w:rPr>
      </w:pPr>
      <w:r>
        <w:rPr>
          <w:rFonts w:hint="eastAsia" w:ascii="宋体" w:hAnsi="宋体"/>
          <w:bCs/>
        </w:rPr>
        <w:t>兹证明上述声明是真实、正确的，并提供了全部能提供的资料和数据，我愿遵照贵方要求出示有关证明文件。</w:t>
      </w:r>
    </w:p>
    <w:p>
      <w:pPr>
        <w:snapToGrid w:val="0"/>
        <w:spacing w:line="300" w:lineRule="auto"/>
        <w:ind w:left="560"/>
        <w:rPr>
          <w:rFonts w:ascii="宋体" w:hAnsi="宋体"/>
          <w:bCs/>
        </w:rPr>
      </w:pPr>
    </w:p>
    <w:p>
      <w:pPr>
        <w:snapToGrid w:val="0"/>
        <w:spacing w:line="300" w:lineRule="auto"/>
        <w:ind w:left="560"/>
        <w:rPr>
          <w:rFonts w:ascii="宋体" w:hAnsi="宋体"/>
          <w:bCs/>
          <w:u w:val="single"/>
        </w:rPr>
      </w:pPr>
      <w:r>
        <w:rPr>
          <w:rFonts w:hint="eastAsia" w:ascii="宋体" w:hAnsi="宋体"/>
        </w:rPr>
        <w:t>投标单位</w:t>
      </w:r>
      <w:r>
        <w:rPr>
          <w:rFonts w:hint="eastAsia" w:ascii="宋体" w:hAnsi="宋体"/>
          <w:bCs/>
        </w:rPr>
        <w:t>名称（加盖公章）：</w:t>
      </w:r>
      <w:r>
        <w:rPr>
          <w:rFonts w:hint="eastAsia" w:ascii="宋体" w:hAnsi="宋体"/>
          <w:b/>
          <w:u w:val="single"/>
        </w:rPr>
        <w:t xml:space="preserve">                     </w:t>
      </w:r>
    </w:p>
    <w:p>
      <w:pPr>
        <w:snapToGrid w:val="0"/>
        <w:spacing w:line="300" w:lineRule="auto"/>
        <w:ind w:left="560"/>
        <w:rPr>
          <w:rFonts w:ascii="宋体" w:hAnsi="宋体"/>
          <w:bCs/>
          <w:u w:val="single"/>
        </w:rPr>
      </w:pPr>
      <w:r>
        <w:rPr>
          <w:rFonts w:hint="eastAsia" w:ascii="宋体" w:hAnsi="宋体"/>
          <w:bCs/>
        </w:rPr>
        <w:t>授权代表或法定代表人签字：</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授权代表的职务：</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电话：</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传真：</w:t>
      </w:r>
      <w:r>
        <w:rPr>
          <w:rFonts w:hint="eastAsia" w:ascii="宋体" w:hAnsi="宋体"/>
          <w:bCs/>
          <w:u w:val="single"/>
        </w:rPr>
        <w:t xml:space="preserve">                             </w:t>
      </w:r>
    </w:p>
    <w:p>
      <w:pPr>
        <w:snapToGrid w:val="0"/>
        <w:spacing w:line="300" w:lineRule="auto"/>
        <w:ind w:left="560"/>
        <w:rPr>
          <w:rFonts w:ascii="宋体" w:hAnsi="宋体"/>
          <w:bCs/>
        </w:rPr>
      </w:pPr>
      <w:r>
        <w:rPr>
          <w:rFonts w:hint="eastAsia" w:ascii="宋体" w:hAnsi="宋体"/>
          <w:bCs/>
        </w:rPr>
        <w:t>日期：</w:t>
      </w:r>
      <w:r>
        <w:rPr>
          <w:rFonts w:hint="eastAsia"/>
          <w:snapToGrid w:val="0"/>
          <w:kern w:val="0"/>
          <w:u w:val="single"/>
        </w:rPr>
        <w:t>　　　　　　　　　　　　　　　</w:t>
      </w:r>
      <w:r>
        <w:rPr>
          <w:rFonts w:hint="eastAsia" w:ascii="宋体" w:hAnsi="宋体"/>
          <w:bCs/>
        </w:rPr>
        <w:t xml:space="preserve"> </w:t>
      </w:r>
    </w:p>
    <w:p/>
    <w:p/>
    <w:p/>
    <w:p/>
    <w:p/>
    <w:p/>
    <w:p/>
    <w:p/>
    <w:p/>
    <w:p/>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75" w:name="_Toc44690709"/>
      <w:bookmarkStart w:id="76" w:name="_Toc44691168"/>
      <w:bookmarkStart w:id="77" w:name="_Toc44690436"/>
      <w:bookmarkStart w:id="78" w:name="_Toc44691400"/>
      <w:r>
        <w:rPr>
          <w:rFonts w:hint="eastAsia" w:asciiTheme="minorEastAsia" w:hAnsiTheme="minorEastAsia" w:eastAsiaTheme="minorEastAsia"/>
          <w:sz w:val="24"/>
        </w:rPr>
        <w:t>格式8  偏离表</w:t>
      </w:r>
      <w:bookmarkEnd w:id="75"/>
      <w:bookmarkEnd w:id="76"/>
      <w:bookmarkEnd w:id="77"/>
      <w:bookmarkEnd w:id="78"/>
    </w:p>
    <w:p>
      <w:pPr>
        <w:adjustRightInd w:val="0"/>
        <w:snapToGrid w:val="0"/>
        <w:spacing w:line="360" w:lineRule="auto"/>
        <w:rPr>
          <w:rFonts w:ascii="宋体" w:hAnsi="宋体"/>
        </w:rPr>
      </w:pPr>
    </w:p>
    <w:p>
      <w:pPr>
        <w:snapToGrid w:val="0"/>
        <w:spacing w:line="360" w:lineRule="auto"/>
        <w:jc w:val="center"/>
        <w:rPr>
          <w:b/>
          <w:sz w:val="24"/>
        </w:rPr>
      </w:pPr>
      <w:r>
        <w:rPr>
          <w:rFonts w:hint="eastAsia"/>
          <w:b/>
          <w:sz w:val="24"/>
        </w:rPr>
        <w:t>招标项目需求偏离表</w:t>
      </w:r>
    </w:p>
    <w:tbl>
      <w:tblPr>
        <w:tblStyle w:val="50"/>
        <w:tblW w:w="101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010"/>
        <w:gridCol w:w="3544"/>
        <w:gridCol w:w="1984"/>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75" w:type="dxa"/>
            <w:vAlign w:val="center"/>
          </w:tcPr>
          <w:p>
            <w:pPr>
              <w:rPr>
                <w:rFonts w:ascii="宋体" w:hAnsi="宋体"/>
                <w:szCs w:val="21"/>
              </w:rPr>
            </w:pPr>
            <w:r>
              <w:rPr>
                <w:rFonts w:hint="eastAsia" w:ascii="宋体" w:hAnsi="宋体"/>
                <w:szCs w:val="21"/>
              </w:rPr>
              <w:t>序号</w:t>
            </w:r>
          </w:p>
        </w:tc>
        <w:tc>
          <w:tcPr>
            <w:tcW w:w="2010" w:type="dxa"/>
            <w:vAlign w:val="center"/>
          </w:tcPr>
          <w:p>
            <w:pPr>
              <w:ind w:left="136" w:leftChars="65"/>
              <w:jc w:val="center"/>
              <w:rPr>
                <w:rFonts w:ascii="宋体" w:hAnsi="宋体"/>
                <w:szCs w:val="21"/>
              </w:rPr>
            </w:pPr>
            <w:r>
              <w:rPr>
                <w:rFonts w:hint="eastAsia" w:ascii="宋体" w:hAnsi="宋体"/>
                <w:szCs w:val="21"/>
              </w:rPr>
              <w:t>招标项目需求</w:t>
            </w:r>
          </w:p>
        </w:tc>
        <w:tc>
          <w:tcPr>
            <w:tcW w:w="3544" w:type="dxa"/>
            <w:vAlign w:val="center"/>
          </w:tcPr>
          <w:p>
            <w:pPr>
              <w:ind w:left="136" w:leftChars="65"/>
              <w:jc w:val="center"/>
              <w:rPr>
                <w:rFonts w:ascii="宋体" w:hAnsi="宋体"/>
                <w:szCs w:val="21"/>
              </w:rPr>
            </w:pPr>
            <w:r>
              <w:rPr>
                <w:rFonts w:hint="eastAsia" w:ascii="宋体" w:hAnsi="宋体"/>
                <w:szCs w:val="21"/>
              </w:rPr>
              <w:t>投标文件响应</w:t>
            </w:r>
          </w:p>
        </w:tc>
        <w:tc>
          <w:tcPr>
            <w:tcW w:w="1984" w:type="dxa"/>
            <w:vAlign w:val="center"/>
          </w:tcPr>
          <w:p>
            <w:pPr>
              <w:ind w:left="136" w:leftChars="65"/>
              <w:jc w:val="center"/>
              <w:rPr>
                <w:rFonts w:ascii="宋体" w:hAnsi="宋体"/>
                <w:szCs w:val="21"/>
              </w:rPr>
            </w:pPr>
            <w:r>
              <w:rPr>
                <w:rFonts w:hint="eastAsia" w:ascii="宋体" w:hAnsi="宋体"/>
                <w:szCs w:val="21"/>
              </w:rPr>
              <w:t>偏离情况</w:t>
            </w:r>
          </w:p>
        </w:tc>
        <w:tc>
          <w:tcPr>
            <w:tcW w:w="1974" w:type="dxa"/>
            <w:vAlign w:val="center"/>
          </w:tcPr>
          <w:p>
            <w:pPr>
              <w:ind w:left="136" w:leftChars="65"/>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187" w:type="dxa"/>
            <w:gridSpan w:val="5"/>
          </w:tcPr>
          <w:p>
            <w:pPr>
              <w:ind w:left="137" w:leftChars="1" w:hanging="135" w:hangingChars="64"/>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带★</w:t>
            </w:r>
            <w:r>
              <w:rPr>
                <w:rFonts w:hint="eastAsia" w:ascii="宋体" w:hAnsi="宋体" w:cs="Arial"/>
                <w:b/>
                <w:color w:val="FF0000"/>
              </w:rPr>
              <w:t>号</w:t>
            </w:r>
            <w:r>
              <w:rPr>
                <w:rFonts w:hint="eastAsia" w:ascii="宋体" w:hAnsi="宋体" w:cs="Arial"/>
                <w:b/>
              </w:rPr>
              <w:t>条款（如有）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jc w:val="center"/>
        </w:trPr>
        <w:tc>
          <w:tcPr>
            <w:tcW w:w="675" w:type="dxa"/>
            <w:vAlign w:val="center"/>
          </w:tcPr>
          <w:p>
            <w:pPr>
              <w:ind w:left="136" w:leftChars="65"/>
              <w:jc w:val="center"/>
              <w:rPr>
                <w:rFonts w:ascii="宋体" w:hAnsi="宋体"/>
                <w:szCs w:val="21"/>
              </w:rPr>
            </w:pPr>
            <w:r>
              <w:rPr>
                <w:rFonts w:hint="eastAsia" w:ascii="宋体" w:hAnsi="宋体"/>
                <w:szCs w:val="21"/>
              </w:rPr>
              <w:t>1</w:t>
            </w:r>
          </w:p>
        </w:tc>
        <w:tc>
          <w:tcPr>
            <w:tcW w:w="2010" w:type="dxa"/>
            <w:vAlign w:val="center"/>
          </w:tcPr>
          <w:p>
            <w:pPr>
              <w:rPr>
                <w:rFonts w:ascii="宋体" w:hAnsi="宋体"/>
                <w:b/>
                <w:color w:val="FF0000"/>
              </w:rPr>
            </w:pPr>
            <w:r>
              <w:rPr>
                <w:rFonts w:hint="eastAsia" w:ascii="宋体" w:hAnsi="宋体"/>
                <w:b/>
                <w:color w:val="FF0000"/>
              </w:rPr>
              <w:t>招标文件第二章《项目需求》中所有带</w:t>
            </w:r>
            <w:r>
              <w:rPr>
                <w:rFonts w:hint="eastAsia" w:ascii="宋体" w:hAnsi="宋体"/>
                <w:b/>
                <w:color w:val="FF0000"/>
                <w:kern w:val="0"/>
                <w:szCs w:val="21"/>
              </w:rPr>
              <w:t>★号条款</w:t>
            </w:r>
            <w:r>
              <w:rPr>
                <w:rFonts w:hint="eastAsia" w:ascii="宋体" w:hAnsi="宋体"/>
                <w:b/>
                <w:color w:val="FF0000"/>
              </w:rPr>
              <w:t>的要求</w:t>
            </w:r>
          </w:p>
        </w:tc>
        <w:tc>
          <w:tcPr>
            <w:tcW w:w="3544" w:type="dxa"/>
            <w:vAlign w:val="center"/>
          </w:tcPr>
          <w:p>
            <w:pPr>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此项投标人必须完全响应满足，请投标人于“投标文件响应”栏中填写</w:t>
            </w:r>
            <w:r>
              <w:rPr>
                <w:rFonts w:hint="eastAsia" w:ascii="宋体" w:hAnsi="宋体" w:cs="Arial"/>
                <w:b/>
                <w:color w:val="0000FF"/>
                <w:sz w:val="20"/>
                <w:szCs w:val="18"/>
              </w:rPr>
              <w:t>“完全响应满足招标文件第二章《项目需求》中所有带★号条款的要求”</w:t>
            </w:r>
            <w:r>
              <w:rPr>
                <w:rFonts w:hint="eastAsia" w:ascii="宋体" w:hAnsi="宋体" w:cs="Arial"/>
                <w:color w:val="0000FF"/>
                <w:sz w:val="20"/>
                <w:szCs w:val="18"/>
              </w:rPr>
              <w:t>。无需另行编制填写内容。】</w:t>
            </w:r>
          </w:p>
        </w:tc>
        <w:tc>
          <w:tcPr>
            <w:tcW w:w="1984" w:type="dxa"/>
            <w:vAlign w:val="center"/>
          </w:tcPr>
          <w:p>
            <w:pPr>
              <w:ind w:left="136" w:leftChars="65"/>
              <w:jc w:val="center"/>
              <w:rPr>
                <w:rFonts w:ascii="宋体" w:hAnsi="宋体"/>
                <w:szCs w:val="21"/>
              </w:rPr>
            </w:pPr>
          </w:p>
        </w:tc>
        <w:tc>
          <w:tcPr>
            <w:tcW w:w="1974" w:type="dxa"/>
            <w:vAlign w:val="center"/>
          </w:tcPr>
          <w:p>
            <w:pPr>
              <w:ind w:left="2"/>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187" w:type="dxa"/>
            <w:gridSpan w:val="5"/>
            <w:vAlign w:val="center"/>
          </w:tcPr>
          <w:p>
            <w:pPr>
              <w:ind w:left="136" w:leftChars="65"/>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未带★</w:t>
            </w:r>
            <w:r>
              <w:rPr>
                <w:rFonts w:hint="eastAsia" w:ascii="宋体" w:hAnsi="宋体" w:cs="Arial"/>
                <w:b/>
                <w:color w:val="FF0000"/>
              </w:rPr>
              <w:t>号</w:t>
            </w:r>
            <w:r>
              <w:rPr>
                <w:rFonts w:hint="eastAsia" w:ascii="宋体" w:hAnsi="宋体" w:cs="Arial"/>
                <w:b/>
              </w:rPr>
              <w:t>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jc w:val="center"/>
        </w:trPr>
        <w:tc>
          <w:tcPr>
            <w:tcW w:w="675" w:type="dxa"/>
            <w:vAlign w:val="center"/>
          </w:tcPr>
          <w:p>
            <w:pPr>
              <w:jc w:val="center"/>
              <w:rPr>
                <w:rFonts w:ascii="宋体" w:hAnsi="宋体"/>
                <w:szCs w:val="21"/>
              </w:rPr>
            </w:pPr>
            <w:r>
              <w:rPr>
                <w:rFonts w:hint="eastAsia" w:ascii="宋体" w:hAnsi="宋体"/>
              </w:rPr>
              <w:t>1</w:t>
            </w:r>
          </w:p>
        </w:tc>
        <w:tc>
          <w:tcPr>
            <w:tcW w:w="2010" w:type="dxa"/>
            <w:vAlign w:val="center"/>
          </w:tcPr>
          <w:p>
            <w:pPr>
              <w:rPr>
                <w:rFonts w:ascii="宋体" w:hAnsi="宋体"/>
                <w:color w:val="FF0000"/>
                <w:szCs w:val="21"/>
              </w:rPr>
            </w:pPr>
            <w:r>
              <w:rPr>
                <w:rFonts w:hint="eastAsia" w:ascii="宋体" w:hAnsi="宋体"/>
                <w:b/>
                <w:color w:val="FF0000"/>
                <w:szCs w:val="21"/>
              </w:rPr>
              <w:t>招标文件第二章《项目需求》中未带★号的所有条款要求</w:t>
            </w:r>
          </w:p>
        </w:tc>
        <w:tc>
          <w:tcPr>
            <w:tcW w:w="3544" w:type="dxa"/>
            <w:vAlign w:val="center"/>
          </w:tcPr>
          <w:p>
            <w:pPr>
              <w:jc w:val="left"/>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1、如投标人能完全按照此部分条款要求承诺（响应）并实施，可填写“</w:t>
            </w:r>
            <w:r>
              <w:rPr>
                <w:rFonts w:hint="eastAsia" w:ascii="宋体" w:hAnsi="宋体" w:cs="Arial"/>
                <w:b/>
                <w:color w:val="0000FF"/>
                <w:sz w:val="20"/>
                <w:szCs w:val="18"/>
              </w:rPr>
              <w:t>完全按招标文件要求响应</w:t>
            </w:r>
            <w:r>
              <w:rPr>
                <w:rFonts w:hint="eastAsia" w:ascii="宋体" w:hAnsi="宋体" w:cs="Arial"/>
                <w:color w:val="0000FF"/>
                <w:sz w:val="20"/>
                <w:szCs w:val="18"/>
              </w:rPr>
              <w:t>”；</w:t>
            </w:r>
          </w:p>
          <w:p>
            <w:pPr>
              <w:jc w:val="left"/>
              <w:rPr>
                <w:rFonts w:ascii="宋体" w:hAnsi="宋体" w:cs="Arial"/>
                <w:color w:val="0000FF"/>
                <w:sz w:val="20"/>
                <w:szCs w:val="18"/>
              </w:rPr>
            </w:pPr>
            <w:r>
              <w:rPr>
                <w:rFonts w:hint="eastAsia" w:ascii="宋体" w:hAnsi="宋体" w:cs="Arial"/>
                <w:color w:val="0000FF"/>
                <w:sz w:val="20"/>
                <w:szCs w:val="18"/>
              </w:rPr>
              <w:t>2、如投标人承诺（响应）内容出现正偏离或负偏离，请逐条做出说明。】</w:t>
            </w:r>
          </w:p>
        </w:tc>
        <w:tc>
          <w:tcPr>
            <w:tcW w:w="1984" w:type="dxa"/>
            <w:vAlign w:val="center"/>
          </w:tcPr>
          <w:p>
            <w:pPr>
              <w:ind w:left="136" w:leftChars="65"/>
              <w:jc w:val="center"/>
              <w:rPr>
                <w:rFonts w:ascii="宋体" w:hAnsi="宋体"/>
                <w:szCs w:val="21"/>
              </w:rPr>
            </w:pPr>
          </w:p>
        </w:tc>
        <w:tc>
          <w:tcPr>
            <w:tcW w:w="1974" w:type="dxa"/>
            <w:vAlign w:val="center"/>
          </w:tcPr>
          <w:p>
            <w:pPr>
              <w:ind w:left="57" w:leftChars="27"/>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bl>
    <w:p>
      <w:pPr>
        <w:spacing w:line="360" w:lineRule="auto"/>
        <w:ind w:firstLine="422" w:firstLineChars="201"/>
      </w:pPr>
      <w:r>
        <w:rPr>
          <w:rFonts w:hint="eastAsia"/>
        </w:rPr>
        <w:t>备注：</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rPr>
        <w:t>（1）投标人无需逐项填写“</w:t>
      </w:r>
      <w:r>
        <w:rPr>
          <w:rFonts w:hint="eastAsia" w:asciiTheme="minorEastAsia" w:hAnsiTheme="minorEastAsia" w:eastAsiaTheme="minorEastAsia"/>
          <w:szCs w:val="21"/>
        </w:rPr>
        <w:t>招标项目需求”栏，按格式提供即可。</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（2）投标人必须完全响应满足所有带★号条款的要求，否则将导致投标无效。中标后被发现不能满足《项目需求》中所有带★号条款要求的，采购单位有权拒绝签订合同，一切后果由投标人自行承担。</w:t>
      </w:r>
    </w:p>
    <w:p>
      <w:pPr>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szCs w:val="21"/>
        </w:rPr>
        <w:t>（3）如招标文件要求提供证明材料的，投标文件需提供相应证明材料复印件或扫描件（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w:t>
      </w:r>
    </w:p>
    <w:p>
      <w:pPr>
        <w:spacing w:line="360" w:lineRule="auto"/>
        <w:ind w:firstLine="422" w:firstLineChars="201"/>
        <w:rPr>
          <w:rFonts w:cs="Arial" w:asciiTheme="minorEastAsia" w:hAnsiTheme="minorEastAsia" w:eastAsiaTheme="minorEastAsia"/>
          <w:b/>
          <w:bCs/>
          <w:szCs w:val="21"/>
        </w:rPr>
      </w:pPr>
      <w:r>
        <w:rPr>
          <w:rFonts w:hint="eastAsia" w:asciiTheme="minorEastAsia" w:hAnsiTheme="minorEastAsia" w:eastAsiaTheme="minorEastAsia"/>
        </w:rPr>
        <w:t>（4）请投标人于“</w:t>
      </w:r>
      <w:r>
        <w:rPr>
          <w:rFonts w:hint="eastAsia" w:asciiTheme="minorEastAsia" w:hAnsiTheme="minorEastAsia" w:eastAsiaTheme="minorEastAsia"/>
          <w:szCs w:val="21"/>
        </w:rPr>
        <w:t>投标文件响应</w:t>
      </w:r>
      <w:r>
        <w:rPr>
          <w:rFonts w:hint="eastAsia" w:asciiTheme="minorEastAsia" w:hAnsiTheme="minorEastAsia" w:eastAsiaTheme="minorEastAsia"/>
        </w:rPr>
        <w:t>”栏中对偏离表中相关条款作出响应情况描述，“偏离情况”栏中根据响应情况填写，没有达到要求的填“负偏离”，达到要求的填“无偏离”，优于要求的填“正偏离”</w:t>
      </w:r>
      <w:r>
        <w:rPr>
          <w:rFonts w:hint="eastAsia" w:cs="Arial" w:asciiTheme="minorEastAsia" w:hAnsiTheme="minorEastAsia" w:eastAsiaTheme="minorEastAsia"/>
          <w:bCs/>
          <w:szCs w:val="21"/>
        </w:rPr>
        <w:t>。</w:t>
      </w:r>
    </w:p>
    <w:p>
      <w:pPr>
        <w:adjustRightInd w:val="0"/>
        <w:snapToGrid w:val="0"/>
        <w:spacing w:line="300" w:lineRule="auto"/>
        <w:rPr>
          <w:rFonts w:eastAsia="楷体_GB2312"/>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left"/>
        <w:rPr>
          <w:snapToGrid w:val="0"/>
          <w:kern w:val="0"/>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79" w:name="_格式4__"/>
      <w:bookmarkEnd w:id="79"/>
      <w:bookmarkStart w:id="80" w:name="q17"/>
      <w:bookmarkEnd w:id="80"/>
      <w:bookmarkStart w:id="81" w:name="q16"/>
      <w:bookmarkEnd w:id="81"/>
      <w:bookmarkStart w:id="82" w:name="_格式2__投标保证金凭证"/>
      <w:bookmarkEnd w:id="82"/>
      <w:bookmarkStart w:id="83" w:name="_格式3__"/>
      <w:bookmarkEnd w:id="83"/>
      <w:bookmarkStart w:id="84" w:name="q15"/>
      <w:bookmarkEnd w:id="84"/>
      <w:bookmarkStart w:id="85" w:name="_格式5__"/>
      <w:bookmarkEnd w:id="85"/>
      <w:r>
        <w:rPr>
          <w:rFonts w:asciiTheme="minorEastAsia" w:hAnsiTheme="minorEastAsia" w:eastAsiaTheme="minorEastAsia"/>
          <w:sz w:val="24"/>
        </w:rPr>
        <w:tab/>
      </w:r>
      <w:bookmarkStart w:id="86" w:name="_Toc44690710"/>
      <w:bookmarkStart w:id="87" w:name="_Toc44690437"/>
      <w:bookmarkStart w:id="88" w:name="_Toc44691401"/>
      <w:bookmarkStart w:id="89" w:name="_Toc44691169"/>
      <w:r>
        <w:rPr>
          <w:rFonts w:hint="eastAsia" w:asciiTheme="minorEastAsia" w:hAnsiTheme="minorEastAsia" w:eastAsiaTheme="minorEastAsia"/>
          <w:sz w:val="24"/>
        </w:rPr>
        <w:t xml:space="preserve">格式9  </w:t>
      </w:r>
      <w:bookmarkEnd w:id="86"/>
      <w:bookmarkEnd w:id="87"/>
      <w:bookmarkEnd w:id="88"/>
      <w:bookmarkEnd w:id="89"/>
      <w:r>
        <w:rPr>
          <w:rFonts w:hint="eastAsia" w:asciiTheme="minorEastAsia" w:hAnsiTheme="minorEastAsia" w:eastAsiaTheme="minorEastAsia"/>
          <w:sz w:val="24"/>
        </w:rPr>
        <w:t>招标文件要求的其他资料或投标人认为需要补充的资料</w:t>
      </w:r>
    </w:p>
    <w:p>
      <w:pPr>
        <w:spacing w:line="360" w:lineRule="auto"/>
        <w:jc w:val="center"/>
      </w:pPr>
    </w:p>
    <w:p>
      <w:pPr>
        <w:spacing w:line="360" w:lineRule="auto"/>
        <w:ind w:firstLine="420" w:firstLineChars="20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pPr>
        <w:adjustRightInd w:val="0"/>
        <w:snapToGrid w:val="0"/>
        <w:spacing w:line="360" w:lineRule="auto"/>
        <w:ind w:firstLine="420" w:firstLineChars="200"/>
        <w:rPr>
          <w:bCs/>
          <w:snapToGrid w:val="0"/>
          <w:kern w:val="0"/>
        </w:rPr>
      </w:pPr>
    </w:p>
    <w:p>
      <w:pPr>
        <w:adjustRightInd w:val="0"/>
        <w:snapToGrid w:val="0"/>
        <w:spacing w:line="300" w:lineRule="auto"/>
        <w:ind w:firstLine="420" w:firstLineChars="200"/>
        <w:rPr>
          <w:b/>
          <w:snapToGrid w:val="0"/>
          <w:kern w:val="0"/>
          <w:sz w:val="24"/>
        </w:rPr>
      </w:pPr>
      <w:r>
        <w:rPr>
          <w:rFonts w:hint="eastAsia"/>
          <w:bCs/>
          <w:snapToGrid w:val="0"/>
          <w:kern w:val="0"/>
        </w:rPr>
        <w:t>注：如需提供补充资料，本部分资料格式不做统一规定，由投标人自行设计。</w:t>
      </w:r>
    </w:p>
    <w:p>
      <w:pPr>
        <w:pStyle w:val="3"/>
        <w:rPr>
          <w:snapToGrid w:val="0"/>
          <w:kern w:val="0"/>
          <w:sz w:val="52"/>
          <w:szCs w:val="52"/>
        </w:rPr>
      </w:pPr>
    </w:p>
    <w:p/>
    <w:p/>
    <w:p/>
    <w:p/>
    <w:p/>
    <w:p/>
    <w:p/>
    <w:p/>
    <w:p/>
    <w:p/>
    <w:p/>
    <w:p/>
    <w:p/>
    <w:p/>
    <w:p/>
    <w:p/>
    <w:p/>
    <w:p/>
    <w:p>
      <w:pPr>
        <w:tabs>
          <w:tab w:val="left" w:pos="1875"/>
        </w:tabs>
      </w:pPr>
      <w:r>
        <w:tab/>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jc w:val="left"/>
      </w:pPr>
      <w:r>
        <w:br w:type="page"/>
      </w:r>
    </w:p>
    <w:p>
      <w:pPr>
        <w:tabs>
          <w:tab w:val="left" w:pos="1875"/>
        </w:tabs>
      </w:pPr>
    </w:p>
    <w:p>
      <w:pPr>
        <w:pStyle w:val="3"/>
      </w:pPr>
      <w:bookmarkStart w:id="90" w:name="_Toc21402"/>
      <w:r>
        <w:rPr>
          <w:rFonts w:hint="eastAsia"/>
        </w:rPr>
        <w:t>第八章  合同条款</w:t>
      </w:r>
      <w:bookmarkEnd w:id="90"/>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6"/>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pStyle w:val="26"/>
        <w:spacing w:line="360" w:lineRule="auto"/>
        <w:ind w:firstLine="482" w:firstLineChars="200"/>
        <w:rPr>
          <w:rFonts w:ascii="Times New Roman" w:hAnsi="Times New Roman"/>
          <w:b/>
          <w:sz w:val="24"/>
        </w:rPr>
      </w:pP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采购人（甲方）：   </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中标人（乙方）：                                       </w:t>
      </w:r>
    </w:p>
    <w:p>
      <w:pPr>
        <w:adjustRightInd w:val="0"/>
        <w:snapToGrid w:val="0"/>
        <w:spacing w:line="360" w:lineRule="auto"/>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w:t>
      </w:r>
      <w:r>
        <w:rPr>
          <w:rFonts w:hint="eastAsia" w:ascii="宋体" w:hAnsi="宋体" w:cs="Courier New"/>
          <w:snapToGrid w:val="0"/>
          <w:szCs w:val="18"/>
        </w:rPr>
        <w:t>中华人民共和国民法典</w:t>
      </w:r>
      <w:r>
        <w:rPr>
          <w:rFonts w:hint="eastAsia" w:asciiTheme="minorEastAsia" w:hAnsiTheme="minorEastAsia"/>
          <w:szCs w:val="21"/>
        </w:rPr>
        <w:t>》之规定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pStyle w:val="26"/>
        <w:snapToGrid w:val="0"/>
        <w:spacing w:line="360" w:lineRule="auto"/>
        <w:ind w:firstLine="422" w:firstLineChars="200"/>
        <w:rPr>
          <w:rFonts w:hAnsi="宋体"/>
          <w:b/>
          <w:szCs w:val="21"/>
        </w:rPr>
      </w:pPr>
      <w:r>
        <w:rPr>
          <w:rFonts w:hint="eastAsia" w:hAnsi="宋体"/>
          <w:b/>
          <w:szCs w:val="21"/>
        </w:rPr>
        <w:t>一、服务内容</w:t>
      </w:r>
    </w:p>
    <w:p>
      <w:pPr>
        <w:spacing w:line="360" w:lineRule="auto"/>
        <w:ind w:firstLine="422" w:firstLineChars="201"/>
        <w:rPr>
          <w:rFonts w:ascii="宋体" w:hAnsi="宋体"/>
          <w:szCs w:val="21"/>
        </w:rPr>
      </w:pPr>
      <w:r>
        <w:rPr>
          <w:rFonts w:hint="eastAsia" w:ascii="宋体" w:hAnsi="宋体"/>
          <w:szCs w:val="21"/>
        </w:rPr>
        <w:t>______________________</w:t>
      </w:r>
    </w:p>
    <w:p>
      <w:pPr>
        <w:pStyle w:val="26"/>
        <w:snapToGrid w:val="0"/>
        <w:spacing w:line="360" w:lineRule="auto"/>
        <w:ind w:firstLine="422" w:firstLineChars="200"/>
        <w:rPr>
          <w:rFonts w:hAnsi="宋体"/>
          <w:b/>
          <w:szCs w:val="21"/>
        </w:rPr>
      </w:pPr>
      <w:r>
        <w:rPr>
          <w:rFonts w:hint="eastAsia" w:hAnsi="宋体"/>
          <w:b/>
          <w:szCs w:val="21"/>
        </w:rPr>
        <w:t>二、合同金额</w:t>
      </w:r>
    </w:p>
    <w:p>
      <w:pPr>
        <w:pStyle w:val="26"/>
        <w:snapToGrid w:val="0"/>
        <w:spacing w:line="360" w:lineRule="auto"/>
        <w:ind w:firstLine="420" w:firstLineChars="200"/>
        <w:rPr>
          <w:rFonts w:hAnsi="宋体"/>
          <w:szCs w:val="21"/>
        </w:rPr>
      </w:pPr>
      <w:r>
        <w:rPr>
          <w:rFonts w:hint="eastAsia" w:hAnsi="宋体"/>
          <w:szCs w:val="21"/>
        </w:rPr>
        <w:t>本合同金额为（大写）：____________________________________元（￥_______________元）人民币。</w:t>
      </w:r>
    </w:p>
    <w:p>
      <w:pPr>
        <w:pStyle w:val="26"/>
        <w:snapToGrid w:val="0"/>
        <w:spacing w:line="360" w:lineRule="auto"/>
        <w:ind w:firstLine="422" w:firstLineChars="200"/>
        <w:rPr>
          <w:rFonts w:hAnsi="宋体"/>
          <w:b/>
          <w:szCs w:val="21"/>
        </w:rPr>
      </w:pPr>
      <w:r>
        <w:rPr>
          <w:rFonts w:hint="eastAsia" w:hAnsi="宋体"/>
          <w:b/>
          <w:szCs w:val="21"/>
        </w:rPr>
        <w:t>三、技术资料</w:t>
      </w:r>
    </w:p>
    <w:p>
      <w:pPr>
        <w:pStyle w:val="26"/>
        <w:snapToGrid w:val="0"/>
        <w:spacing w:line="360" w:lineRule="auto"/>
        <w:ind w:firstLine="420" w:firstLineChars="200"/>
        <w:rPr>
          <w:rFonts w:hAnsi="宋体"/>
          <w:szCs w:val="21"/>
        </w:rPr>
      </w:pPr>
      <w:r>
        <w:rPr>
          <w:rFonts w:hint="eastAsia" w:hAnsi="宋体"/>
          <w:szCs w:val="21"/>
        </w:rPr>
        <w:t>1、中标人应按招标文件规定的时间向采购人提供有关技术资料。</w:t>
      </w:r>
    </w:p>
    <w:p>
      <w:pPr>
        <w:pStyle w:val="26"/>
        <w:snapToGrid w:val="0"/>
        <w:spacing w:line="360" w:lineRule="auto"/>
        <w:ind w:firstLine="420" w:firstLineChars="200"/>
        <w:rPr>
          <w:rFonts w:hAnsi="宋体"/>
          <w:szCs w:val="21"/>
        </w:rPr>
      </w:pPr>
      <w:r>
        <w:rPr>
          <w:rFonts w:hint="eastAsia" w:hAnsi="宋体"/>
          <w:szCs w:val="21"/>
        </w:rPr>
        <w:t>2、没有采购人事先书面同意，中标人不得将由采购人提供的有关合同或任何合同条文、项目资料提供给与履行本合同无关的任何其他人。即使向履行本合同有关的人员提供，也应注意保密并限于履行合同的必需范围。</w:t>
      </w:r>
    </w:p>
    <w:p>
      <w:pPr>
        <w:pStyle w:val="26"/>
        <w:snapToGrid w:val="0"/>
        <w:spacing w:line="360" w:lineRule="auto"/>
        <w:ind w:firstLine="420" w:firstLineChars="200"/>
        <w:rPr>
          <w:rFonts w:hAnsi="宋体"/>
          <w:szCs w:val="21"/>
        </w:rPr>
      </w:pPr>
      <w:r>
        <w:rPr>
          <w:rFonts w:hint="eastAsia" w:hAnsi="宋体"/>
          <w:szCs w:val="21"/>
        </w:rPr>
        <w:t>3、合同履行完毕，未经采购人的书面同意，中标人不得保存在履行合同过程中所获得或接触到的任何内部数据资料。</w:t>
      </w:r>
    </w:p>
    <w:p>
      <w:pPr>
        <w:pStyle w:val="26"/>
        <w:snapToGrid w:val="0"/>
        <w:spacing w:line="360" w:lineRule="auto"/>
        <w:ind w:firstLine="422" w:firstLineChars="200"/>
        <w:rPr>
          <w:rFonts w:hAnsi="宋体"/>
          <w:b/>
          <w:szCs w:val="21"/>
        </w:rPr>
      </w:pPr>
      <w:r>
        <w:rPr>
          <w:rFonts w:hint="eastAsia" w:hAnsi="宋体"/>
          <w:b/>
          <w:szCs w:val="21"/>
        </w:rPr>
        <w:t>四、知识产权</w:t>
      </w:r>
    </w:p>
    <w:p>
      <w:pPr>
        <w:pStyle w:val="26"/>
        <w:snapToGrid w:val="0"/>
        <w:spacing w:line="360" w:lineRule="auto"/>
        <w:ind w:firstLine="420" w:firstLineChars="200"/>
        <w:rPr>
          <w:rFonts w:hAnsi="宋体"/>
          <w:bCs/>
          <w:szCs w:val="21"/>
        </w:rPr>
      </w:pPr>
      <w:r>
        <w:rPr>
          <w:rFonts w:hint="eastAsia" w:hAnsi="宋体"/>
          <w:szCs w:val="21"/>
        </w:rPr>
        <w:t>中标人应保证提供服务过程中不会侵犯任何第三方的知识产权</w:t>
      </w:r>
      <w:r>
        <w:rPr>
          <w:rFonts w:hint="eastAsia" w:hAnsi="宋体"/>
          <w:bCs/>
          <w:szCs w:val="21"/>
        </w:rPr>
        <w:t>。</w:t>
      </w:r>
    </w:p>
    <w:p>
      <w:pPr>
        <w:pStyle w:val="26"/>
        <w:snapToGrid w:val="0"/>
        <w:spacing w:line="360" w:lineRule="auto"/>
        <w:ind w:firstLine="422" w:firstLineChars="200"/>
        <w:rPr>
          <w:rFonts w:hAnsi="宋体"/>
          <w:b/>
          <w:szCs w:val="21"/>
        </w:rPr>
      </w:pPr>
      <w:r>
        <w:rPr>
          <w:rFonts w:hint="eastAsia" w:hAnsi="宋体"/>
          <w:b/>
          <w:szCs w:val="21"/>
        </w:rPr>
        <w:t>五、履约保证金</w:t>
      </w:r>
    </w:p>
    <w:p>
      <w:pPr>
        <w:snapToGrid w:val="0"/>
        <w:spacing w:line="360" w:lineRule="auto"/>
        <w:ind w:firstLine="422" w:firstLineChars="200"/>
        <w:rPr>
          <w:rFonts w:ascii="宋体" w:hAnsi="宋体"/>
          <w:b/>
          <w:szCs w:val="21"/>
        </w:rPr>
      </w:pPr>
      <w:r>
        <w:rPr>
          <w:rFonts w:hint="eastAsia" w:ascii="宋体" w:hAnsi="宋体"/>
          <w:b/>
          <w:szCs w:val="21"/>
        </w:rPr>
        <w:t>六、采购人的权利与义务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5、采购人的其它权利与义务_______________________</w:t>
      </w:r>
    </w:p>
    <w:p>
      <w:pPr>
        <w:snapToGrid w:val="0"/>
        <w:spacing w:line="360" w:lineRule="auto"/>
        <w:ind w:firstLine="422" w:firstLineChars="200"/>
        <w:rPr>
          <w:rFonts w:ascii="宋体" w:hAnsi="宋体"/>
          <w:b/>
          <w:szCs w:val="21"/>
        </w:rPr>
      </w:pPr>
      <w:r>
        <w:rPr>
          <w:rFonts w:hint="eastAsia" w:ascii="宋体" w:hAnsi="宋体"/>
          <w:b/>
          <w:szCs w:val="21"/>
        </w:rPr>
        <w:t>七、中标人的权利与义务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5、中标人的其它权利与义务_______________________</w:t>
      </w:r>
    </w:p>
    <w:p>
      <w:pPr>
        <w:pStyle w:val="26"/>
        <w:snapToGrid w:val="0"/>
        <w:spacing w:line="360" w:lineRule="auto"/>
        <w:ind w:firstLine="422" w:firstLineChars="200"/>
        <w:rPr>
          <w:rFonts w:hAnsi="宋体"/>
          <w:b/>
          <w:szCs w:val="21"/>
        </w:rPr>
      </w:pPr>
      <w:r>
        <w:rPr>
          <w:rFonts w:hint="eastAsia" w:hAnsi="宋体"/>
          <w:b/>
          <w:szCs w:val="21"/>
        </w:rPr>
        <w:t>八、合同履行时间、履行方式及履行地点</w:t>
      </w:r>
    </w:p>
    <w:p>
      <w:pPr>
        <w:pStyle w:val="26"/>
        <w:snapToGrid w:val="0"/>
        <w:spacing w:line="360" w:lineRule="auto"/>
        <w:ind w:firstLine="420" w:firstLineChars="200"/>
        <w:rPr>
          <w:rFonts w:hAnsi="宋体"/>
          <w:bCs/>
          <w:szCs w:val="21"/>
        </w:rPr>
      </w:pPr>
      <w:r>
        <w:rPr>
          <w:rFonts w:hint="eastAsia" w:hAnsi="宋体"/>
          <w:bCs/>
          <w:szCs w:val="21"/>
        </w:rPr>
        <w:t>1、</w:t>
      </w:r>
      <w:r>
        <w:rPr>
          <w:rFonts w:hint="eastAsia" w:hAnsi="宋体"/>
          <w:szCs w:val="21"/>
        </w:rPr>
        <w:t>履行时间</w:t>
      </w:r>
      <w:r>
        <w:rPr>
          <w:rFonts w:hint="eastAsia" w:hAnsi="宋体"/>
          <w:bCs/>
          <w:szCs w:val="21"/>
        </w:rPr>
        <w:t>：</w:t>
      </w:r>
      <w:r>
        <w:rPr>
          <w:rFonts w:hint="eastAsia" w:hAnsi="宋体"/>
          <w:szCs w:val="21"/>
        </w:rPr>
        <w:t>______________________</w:t>
      </w:r>
    </w:p>
    <w:p>
      <w:pPr>
        <w:pStyle w:val="26"/>
        <w:snapToGrid w:val="0"/>
        <w:spacing w:line="360" w:lineRule="auto"/>
        <w:ind w:firstLine="420" w:firstLineChars="200"/>
        <w:rPr>
          <w:rFonts w:hAnsi="宋体"/>
          <w:bCs/>
          <w:szCs w:val="21"/>
        </w:rPr>
      </w:pPr>
      <w:r>
        <w:rPr>
          <w:rFonts w:hint="eastAsia" w:hAnsi="宋体"/>
          <w:bCs/>
          <w:szCs w:val="21"/>
        </w:rPr>
        <w:t>2、</w:t>
      </w:r>
      <w:r>
        <w:rPr>
          <w:rFonts w:hint="eastAsia" w:hAnsi="宋体"/>
          <w:szCs w:val="21"/>
        </w:rPr>
        <w:t>履行方式</w:t>
      </w:r>
      <w:r>
        <w:rPr>
          <w:rFonts w:hint="eastAsia" w:hAnsi="宋体"/>
          <w:bCs/>
          <w:szCs w:val="21"/>
        </w:rPr>
        <w:t>：</w:t>
      </w:r>
      <w:r>
        <w:rPr>
          <w:rFonts w:hint="eastAsia" w:hAnsi="宋体"/>
          <w:szCs w:val="21"/>
        </w:rPr>
        <w:t>______________________</w:t>
      </w:r>
    </w:p>
    <w:p>
      <w:pPr>
        <w:pStyle w:val="26"/>
        <w:snapToGrid w:val="0"/>
        <w:spacing w:line="360" w:lineRule="auto"/>
        <w:ind w:firstLine="420" w:firstLineChars="200"/>
        <w:rPr>
          <w:rFonts w:hAnsi="宋体"/>
          <w:szCs w:val="21"/>
        </w:rPr>
      </w:pPr>
      <w:r>
        <w:rPr>
          <w:rFonts w:hint="eastAsia" w:hAnsi="宋体"/>
          <w:bCs/>
          <w:szCs w:val="21"/>
        </w:rPr>
        <w:t>3、</w:t>
      </w:r>
      <w:r>
        <w:rPr>
          <w:rFonts w:hint="eastAsia" w:hAnsi="宋体"/>
          <w:szCs w:val="21"/>
        </w:rPr>
        <w:t>履行地点</w:t>
      </w:r>
      <w:r>
        <w:rPr>
          <w:rFonts w:hint="eastAsia" w:hAnsi="宋体"/>
          <w:bCs/>
          <w:szCs w:val="21"/>
        </w:rPr>
        <w:t>：</w:t>
      </w:r>
      <w:r>
        <w:rPr>
          <w:rFonts w:hint="eastAsia" w:hAnsi="宋体"/>
          <w:szCs w:val="21"/>
          <w:u w:val="single"/>
        </w:rPr>
        <w:t>深圳市</w:t>
      </w:r>
    </w:p>
    <w:p>
      <w:pPr>
        <w:snapToGrid w:val="0"/>
        <w:spacing w:line="360" w:lineRule="auto"/>
        <w:ind w:firstLine="422" w:firstLineChars="200"/>
        <w:rPr>
          <w:rFonts w:ascii="宋体" w:hAnsi="宋体"/>
          <w:b/>
          <w:szCs w:val="21"/>
        </w:rPr>
      </w:pPr>
      <w:r>
        <w:rPr>
          <w:rFonts w:hint="eastAsia" w:ascii="宋体" w:hAnsi="宋体"/>
          <w:b/>
          <w:szCs w:val="21"/>
        </w:rPr>
        <w:t>九、验收</w:t>
      </w:r>
    </w:p>
    <w:p>
      <w:pPr>
        <w:snapToGrid w:val="0"/>
        <w:spacing w:line="360" w:lineRule="auto"/>
        <w:ind w:firstLine="420" w:firstLineChars="200"/>
        <w:rPr>
          <w:rFonts w:ascii="宋体" w:hAnsi="宋体"/>
          <w:szCs w:val="21"/>
        </w:rPr>
      </w:pPr>
      <w:r>
        <w:rPr>
          <w:rFonts w:hint="eastAsia" w:ascii="宋体" w:hAnsi="宋体"/>
          <w:szCs w:val="21"/>
        </w:rPr>
        <w:t>1、下列文件的验收分为______个阶段:</w:t>
      </w:r>
    </w:p>
    <w:p>
      <w:pPr>
        <w:snapToGrid w:val="0"/>
        <w:spacing w:line="360" w:lineRule="auto"/>
        <w:ind w:firstLine="420" w:firstLineChars="200"/>
        <w:rPr>
          <w:rFonts w:ascii="宋体" w:hAnsi="宋体"/>
          <w:szCs w:val="21"/>
        </w:rPr>
      </w:pPr>
      <w:r>
        <w:rPr>
          <w:rFonts w:hint="eastAsia" w:ascii="宋体" w:hAnsi="宋体"/>
          <w:szCs w:val="21"/>
        </w:rPr>
        <w:t>2、其余文件和工作由用户组织有关技术人员根据国家和行业有关规范、规程、标准和用户需求直接验收。</w:t>
      </w:r>
    </w:p>
    <w:p>
      <w:pPr>
        <w:snapToGrid w:val="0"/>
        <w:spacing w:line="360" w:lineRule="auto"/>
        <w:ind w:firstLine="420" w:firstLineChars="200"/>
        <w:rPr>
          <w:rFonts w:ascii="宋体" w:hAnsi="宋体"/>
          <w:szCs w:val="21"/>
        </w:rPr>
      </w:pPr>
      <w:r>
        <w:rPr>
          <w:rFonts w:hint="eastAsia" w:ascii="宋体" w:hAnsi="宋体"/>
          <w:szCs w:val="21"/>
        </w:rPr>
        <w:t>3、验收依据为招标文件、中标人投标文件，国家和行业有关规范、规程和标准。</w:t>
      </w:r>
    </w:p>
    <w:p>
      <w:pPr>
        <w:pStyle w:val="26"/>
        <w:snapToGrid w:val="0"/>
        <w:spacing w:line="360" w:lineRule="auto"/>
        <w:ind w:firstLine="422" w:firstLineChars="200"/>
        <w:rPr>
          <w:rFonts w:hAnsi="宋体"/>
          <w:b/>
          <w:szCs w:val="21"/>
        </w:rPr>
      </w:pPr>
      <w:r>
        <w:rPr>
          <w:rFonts w:hint="eastAsia" w:hAnsi="宋体"/>
          <w:b/>
          <w:szCs w:val="21"/>
        </w:rPr>
        <w:t>十、付款方式和税费</w:t>
      </w:r>
    </w:p>
    <w:p>
      <w:pPr>
        <w:pStyle w:val="26"/>
        <w:snapToGrid w:val="0"/>
        <w:spacing w:line="360" w:lineRule="auto"/>
        <w:ind w:firstLine="420" w:firstLineChars="200"/>
        <w:rPr>
          <w:rFonts w:hAnsi="宋体"/>
          <w:bCs/>
          <w:szCs w:val="21"/>
        </w:rPr>
      </w:pPr>
      <w:r>
        <w:rPr>
          <w:rFonts w:hAnsi="宋体" w:cs="宋体"/>
          <w:szCs w:val="21"/>
        </w:rPr>
        <w:t>本合同付款方式为</w:t>
      </w:r>
      <w:r>
        <w:rPr>
          <w:rFonts w:hint="eastAsia" w:hAnsi="宋体" w:cs="宋体"/>
          <w:szCs w:val="21"/>
        </w:rPr>
        <w:t>：</w:t>
      </w:r>
      <w:r>
        <w:rPr>
          <w:rFonts w:hint="eastAsia" w:hAnsi="宋体" w:cs="宋体"/>
          <w:szCs w:val="21"/>
          <w:u w:val="single"/>
        </w:rPr>
        <w:t xml:space="preserve">                </w:t>
      </w:r>
      <w:r>
        <w:rPr>
          <w:rFonts w:hint="eastAsia" w:hAnsi="宋体"/>
          <w:bCs/>
          <w:szCs w:val="21"/>
        </w:rPr>
        <w:t>。</w:t>
      </w:r>
    </w:p>
    <w:p>
      <w:pPr>
        <w:snapToGrid w:val="0"/>
        <w:spacing w:line="360" w:lineRule="auto"/>
        <w:ind w:firstLine="420" w:firstLineChars="200"/>
        <w:rPr>
          <w:rFonts w:ascii="宋体" w:hAnsi="宋体"/>
          <w:szCs w:val="21"/>
        </w:rPr>
      </w:pPr>
      <w:r>
        <w:rPr>
          <w:rFonts w:hint="eastAsia" w:ascii="宋体" w:hAnsi="宋体"/>
          <w:szCs w:val="21"/>
        </w:rPr>
        <w:t>本合同执行中相关的一切税费均由中标人负担。</w:t>
      </w:r>
    </w:p>
    <w:p>
      <w:pPr>
        <w:snapToGrid w:val="0"/>
        <w:spacing w:line="360" w:lineRule="auto"/>
        <w:ind w:firstLine="422" w:firstLineChars="200"/>
        <w:rPr>
          <w:rFonts w:ascii="宋体" w:hAnsi="宋体"/>
          <w:b/>
          <w:bCs/>
          <w:szCs w:val="21"/>
        </w:rPr>
      </w:pPr>
      <w:r>
        <w:rPr>
          <w:rFonts w:hint="eastAsia" w:ascii="宋体" w:hAnsi="宋体"/>
          <w:b/>
          <w:szCs w:val="21"/>
        </w:rPr>
        <w:t>十一、</w:t>
      </w:r>
      <w:r>
        <w:rPr>
          <w:rFonts w:hint="eastAsia" w:ascii="宋体" w:hAnsi="宋体"/>
          <w:b/>
          <w:bCs/>
          <w:szCs w:val="21"/>
        </w:rPr>
        <w:t>争议解决办法</w:t>
      </w:r>
    </w:p>
    <w:p>
      <w:pPr>
        <w:snapToGrid w:val="0"/>
        <w:spacing w:line="360" w:lineRule="auto"/>
        <w:ind w:firstLine="420" w:firstLineChars="200"/>
        <w:rPr>
          <w:rFonts w:ascii="宋体" w:hAnsi="宋体"/>
          <w:szCs w:val="21"/>
        </w:rPr>
      </w:pPr>
      <w:r>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Pr>
          <w:rFonts w:hint="eastAsia" w:ascii="宋体" w:hAnsi="宋体"/>
          <w:szCs w:val="21"/>
        </w:rPr>
        <w:t>。</w:t>
      </w:r>
    </w:p>
    <w:p>
      <w:pPr>
        <w:pStyle w:val="26"/>
        <w:snapToGrid w:val="0"/>
        <w:spacing w:line="360" w:lineRule="auto"/>
        <w:ind w:firstLine="422" w:firstLineChars="200"/>
        <w:rPr>
          <w:rFonts w:hAnsi="宋体"/>
          <w:b/>
          <w:szCs w:val="21"/>
        </w:rPr>
      </w:pPr>
      <w:r>
        <w:rPr>
          <w:rFonts w:hint="eastAsia" w:hAnsi="宋体"/>
          <w:b/>
          <w:szCs w:val="21"/>
        </w:rPr>
        <w:t>十二、违约责任</w:t>
      </w:r>
    </w:p>
    <w:p>
      <w:pPr>
        <w:pStyle w:val="26"/>
        <w:snapToGrid w:val="0"/>
        <w:spacing w:line="360" w:lineRule="auto"/>
        <w:ind w:firstLine="420" w:firstLineChars="200"/>
        <w:rPr>
          <w:rFonts w:hAnsi="宋体"/>
          <w:szCs w:val="21"/>
        </w:rPr>
      </w:pPr>
      <w:r>
        <w:rPr>
          <w:rFonts w:hint="eastAsia" w:hAnsi="宋体"/>
          <w:szCs w:val="21"/>
        </w:rPr>
        <w:t>1、因中标人原因，未能按规定完成本项目有关工作的，采购人可在支付合同余款中扣除合同价款</w:t>
      </w:r>
      <w:r>
        <w:rPr>
          <w:rFonts w:hint="eastAsia" w:hAnsi="宋体"/>
          <w:szCs w:val="21"/>
          <w:u w:val="single"/>
        </w:rPr>
        <w:t xml:space="preserve">        </w:t>
      </w:r>
      <w:r>
        <w:rPr>
          <w:rFonts w:hint="eastAsia" w:hAnsi="宋体"/>
          <w:szCs w:val="21"/>
        </w:rPr>
        <w:t>。</w:t>
      </w:r>
    </w:p>
    <w:p>
      <w:pPr>
        <w:snapToGrid w:val="0"/>
        <w:spacing w:line="360" w:lineRule="auto"/>
        <w:ind w:firstLine="420" w:firstLineChars="200"/>
        <w:rPr>
          <w:rFonts w:ascii="宋体" w:hAnsi="宋体"/>
          <w:szCs w:val="21"/>
        </w:rPr>
      </w:pPr>
      <w:r>
        <w:rPr>
          <w:rFonts w:hint="eastAsia" w:ascii="宋体" w:hAnsi="宋体"/>
          <w:szCs w:val="21"/>
        </w:rPr>
        <w:t>2、__________方违反本合同__________约定，应当__________。</w:t>
      </w:r>
    </w:p>
    <w:p>
      <w:pPr>
        <w:snapToGrid w:val="0"/>
        <w:spacing w:line="360" w:lineRule="auto"/>
        <w:ind w:firstLine="422" w:firstLineChars="200"/>
        <w:rPr>
          <w:rFonts w:ascii="宋体" w:hAnsi="宋体"/>
          <w:b/>
          <w:bCs/>
          <w:szCs w:val="21"/>
        </w:rPr>
      </w:pPr>
      <w:r>
        <w:rPr>
          <w:rFonts w:hint="eastAsia" w:ascii="宋体" w:hAnsi="宋体"/>
          <w:b/>
          <w:szCs w:val="21"/>
        </w:rPr>
        <w:t>十三、</w:t>
      </w:r>
      <w:r>
        <w:rPr>
          <w:rFonts w:hint="eastAsia" w:asciiTheme="minorEastAsia" w:hAnsiTheme="minorEastAsia"/>
          <w:b/>
          <w:szCs w:val="21"/>
        </w:rPr>
        <w:t>合同的变更、解除或终止</w:t>
      </w:r>
    </w:p>
    <w:p>
      <w:pPr>
        <w:snapToGrid w:val="0"/>
        <w:spacing w:line="360" w:lineRule="auto"/>
        <w:ind w:firstLine="420" w:firstLineChars="200"/>
        <w:rPr>
          <w:rFonts w:ascii="宋体" w:hAnsi="宋体"/>
          <w:b/>
          <w:bCs/>
          <w:szCs w:val="21"/>
        </w:rPr>
      </w:pPr>
      <w:r>
        <w:rPr>
          <w:rFonts w:hint="eastAsia" w:ascii="宋体" w:hAnsi="宋体"/>
          <w:szCs w:val="21"/>
        </w:rPr>
        <w:t>除政府采购合同继续履行将损害国家利益和社会公共利益外，双方当事人不得擅自变更、中止或者终止合同。</w:t>
      </w:r>
    </w:p>
    <w:p>
      <w:pPr>
        <w:snapToGrid w:val="0"/>
        <w:spacing w:line="360" w:lineRule="auto"/>
        <w:ind w:firstLine="422" w:firstLineChars="200"/>
        <w:rPr>
          <w:rFonts w:ascii="宋体" w:hAnsi="宋体"/>
          <w:b/>
          <w:bCs/>
          <w:szCs w:val="21"/>
        </w:rPr>
      </w:pPr>
      <w:r>
        <w:rPr>
          <w:rFonts w:hint="eastAsia" w:ascii="宋体" w:hAnsi="宋体"/>
          <w:b/>
          <w:szCs w:val="21"/>
        </w:rPr>
        <w:t>十四、</w:t>
      </w:r>
      <w:r>
        <w:rPr>
          <w:rFonts w:hint="eastAsia" w:asciiTheme="minorEastAsia" w:hAnsiTheme="minorEastAsia"/>
          <w:b/>
          <w:szCs w:val="21"/>
        </w:rPr>
        <w:t>合同生效及其他</w:t>
      </w:r>
    </w:p>
    <w:p>
      <w:pPr>
        <w:snapToGrid w:val="0"/>
        <w:spacing w:line="360" w:lineRule="auto"/>
        <w:ind w:firstLine="420" w:firstLineChars="200"/>
        <w:rPr>
          <w:rFonts w:ascii="宋体" w:hAnsi="宋体"/>
          <w:szCs w:val="21"/>
        </w:rPr>
      </w:pPr>
      <w:r>
        <w:rPr>
          <w:rFonts w:hint="eastAsia" w:ascii="宋体" w:hAnsi="宋体"/>
          <w:szCs w:val="21"/>
        </w:rPr>
        <w:t>1、本合同与招标文件、中标人投标文件如有抵触之处，以本合同条款为准。</w:t>
      </w:r>
    </w:p>
    <w:p>
      <w:pPr>
        <w:snapToGrid w:val="0"/>
        <w:spacing w:line="360" w:lineRule="auto"/>
        <w:ind w:firstLine="420" w:firstLineChars="200"/>
        <w:rPr>
          <w:rFonts w:ascii="宋体" w:hAnsi="宋体"/>
          <w:szCs w:val="21"/>
        </w:rPr>
      </w:pPr>
      <w:r>
        <w:rPr>
          <w:rFonts w:hint="eastAsia" w:ascii="宋体" w:hAnsi="宋体"/>
          <w:szCs w:val="21"/>
        </w:rPr>
        <w:t>2、下列文件均为本合同的组成部分：</w:t>
      </w:r>
    </w:p>
    <w:p>
      <w:pPr>
        <w:snapToGrid w:val="0"/>
        <w:spacing w:line="360" w:lineRule="auto"/>
        <w:ind w:firstLine="420" w:firstLineChars="200"/>
        <w:rPr>
          <w:rFonts w:ascii="宋体" w:hAnsi="宋体"/>
          <w:szCs w:val="21"/>
        </w:rPr>
      </w:pPr>
      <w:r>
        <w:rPr>
          <w:rFonts w:hint="eastAsia" w:ascii="宋体" w:hAnsi="宋体"/>
          <w:szCs w:val="21"/>
        </w:rPr>
        <w:t>（1）招标文件、答疑及补充通知；</w:t>
      </w:r>
    </w:p>
    <w:p>
      <w:pPr>
        <w:snapToGrid w:val="0"/>
        <w:spacing w:line="360" w:lineRule="auto"/>
        <w:ind w:firstLine="420" w:firstLineChars="200"/>
        <w:rPr>
          <w:rFonts w:ascii="宋体" w:hAnsi="宋体"/>
          <w:szCs w:val="21"/>
        </w:rPr>
      </w:pPr>
      <w:r>
        <w:rPr>
          <w:rFonts w:hint="eastAsia" w:ascii="宋体" w:hAnsi="宋体"/>
          <w:szCs w:val="21"/>
        </w:rPr>
        <w:t>（2）</w:t>
      </w:r>
      <w:r>
        <w:rPr>
          <w:rFonts w:asciiTheme="minorEastAsia" w:hAnsiTheme="minorEastAsia"/>
          <w:szCs w:val="21"/>
        </w:rPr>
        <w:t>乙方的</w:t>
      </w:r>
      <w:r>
        <w:rPr>
          <w:rFonts w:hint="eastAsia" w:ascii="宋体" w:hAnsi="宋体"/>
          <w:szCs w:val="21"/>
        </w:rPr>
        <w:t>投标文件；</w:t>
      </w:r>
    </w:p>
    <w:p>
      <w:pPr>
        <w:snapToGrid w:val="0"/>
        <w:spacing w:line="360" w:lineRule="auto"/>
        <w:ind w:firstLine="420" w:firstLineChars="200"/>
        <w:rPr>
          <w:rFonts w:ascii="宋体" w:hAnsi="宋体"/>
          <w:szCs w:val="21"/>
        </w:rPr>
      </w:pPr>
      <w:r>
        <w:rPr>
          <w:rFonts w:hint="eastAsia" w:ascii="宋体" w:hAnsi="宋体"/>
          <w:szCs w:val="21"/>
        </w:rPr>
        <w:t>（3）本合同执行中共同签署的补充与修正文件。</w:t>
      </w:r>
    </w:p>
    <w:p>
      <w:pPr>
        <w:snapToGrid w:val="0"/>
        <w:spacing w:line="360" w:lineRule="auto"/>
        <w:ind w:firstLine="420" w:firstLineChars="200"/>
        <w:rPr>
          <w:rFonts w:ascii="宋体" w:hAnsi="宋体"/>
          <w:szCs w:val="21"/>
        </w:rPr>
      </w:pPr>
      <w:r>
        <w:rPr>
          <w:rFonts w:hint="eastAsia" w:ascii="宋体" w:hAnsi="宋体"/>
          <w:szCs w:val="21"/>
        </w:rPr>
        <w:t>3、本合同一式_____份，甲、中标人双方各执_____份，具有同等法律效力。本合同自双方法定代表人签字（盖章）认可之日起生效。</w:t>
      </w:r>
    </w:p>
    <w:p>
      <w:pPr>
        <w:snapToGrid w:val="0"/>
        <w:spacing w:line="360" w:lineRule="auto"/>
        <w:ind w:firstLine="420" w:firstLineChars="200"/>
        <w:rPr>
          <w:rFonts w:ascii="宋体" w:hAnsi="宋体"/>
          <w:szCs w:val="21"/>
        </w:rPr>
      </w:pPr>
      <w:r>
        <w:rPr>
          <w:rFonts w:hint="eastAsia" w:ascii="宋体" w:hAnsi="宋体"/>
          <w:szCs w:val="21"/>
        </w:rPr>
        <w:t>4、本合同未尽事宜，双方友好协商，达成解决方案，经双方签字后，可作为本合同的有效附件。</w:t>
      </w:r>
    </w:p>
    <w:p>
      <w:pPr>
        <w:pStyle w:val="26"/>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1、《中标/成交通知书》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napToGrid w:val="0"/>
        <w:spacing w:line="360" w:lineRule="auto"/>
        <w:rPr>
          <w:rFonts w:ascii="宋体" w:hAnsi="宋体"/>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 xml:space="preserve">  日期：   年     月    日</w:t>
      </w: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pStyle w:val="3"/>
      </w:pPr>
      <w:bookmarkStart w:id="91" w:name="_Toc73610161"/>
      <w:bookmarkStart w:id="92" w:name="_Toc30160"/>
      <w:r>
        <w:rPr>
          <w:rFonts w:hint="eastAsia"/>
        </w:rPr>
        <w:t>第九章  附件</w:t>
      </w:r>
      <w:bookmarkEnd w:id="91"/>
      <w:bookmarkEnd w:id="92"/>
    </w:p>
    <w:p>
      <w:pPr>
        <w:pStyle w:val="5"/>
        <w:spacing w:before="0" w:after="0"/>
        <w:jc w:val="center"/>
      </w:pPr>
      <w:bookmarkStart w:id="93" w:name="_Toc73610162"/>
      <w:bookmarkStart w:id="94" w:name="_Toc17434"/>
      <w:r>
        <w:rPr>
          <w:rFonts w:hint="eastAsia"/>
        </w:rPr>
        <w:t>一、财政部 工业和信息化部关于印发《政府采购促进中小企业发展管理办法》的通知</w:t>
      </w:r>
      <w:bookmarkEnd w:id="93"/>
      <w:bookmarkEnd w:id="94"/>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财库〔2020〕46号</w:t>
      </w: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各中央预算单位办公厅（室），各省、自治区、直辖市、计划单列市财政厅（局）、工业和信息化主管部门，新疆生产建设兵团财政局、工业和信息化主管部门：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附件：政府采购促进中小企业发展管理办法</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财　　政　　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工业和信息化部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2020年12月18日</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附件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center"/>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政府采购促进中小企业发展管理办法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第一条</w:t>
      </w:r>
      <w:r>
        <w:rPr>
          <w:rFonts w:hint="eastAsia" w:asciiTheme="minorEastAsia" w:hAnsiTheme="minorEastAsia" w:eastAsiaTheme="minorEastAsia"/>
          <w:color w:val="333333"/>
          <w:sz w:val="21"/>
          <w:szCs w:val="21"/>
        </w:rPr>
        <w:t>　为了发挥政府采购的政策功能，促进中小企业健康发展，根据《中华人民共和国政府采购法》、《中华人民共和国中小企业促进法》等有关法律法规，制定本办法。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第二条</w:t>
      </w:r>
      <w:r>
        <w:rPr>
          <w:rFonts w:hint="eastAsia" w:asciiTheme="minorEastAsia" w:hAnsiTheme="minorEastAsia" w:eastAsiaTheme="minorEastAsia"/>
          <w:color w:val="333333"/>
          <w:sz w:val="21"/>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符合中小企业划分标准的个体工商户，在政府采购活动中视同中小企业。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第三条</w:t>
      </w:r>
      <w:r>
        <w:rPr>
          <w:rFonts w:hint="eastAsia" w:asciiTheme="minorEastAsia" w:hAnsiTheme="minorEastAsia" w:eastAsiaTheme="minorEastAsia"/>
          <w:color w:val="333333"/>
          <w:sz w:val="21"/>
          <w:szCs w:val="21"/>
        </w:rPr>
        <w:t>　采购人在政府采购活动中应当通过加强采购需求管理，落实预留采购份额、价格评审优惠、优先采购等措施，提高中小企业在政府采购中的份额，支持中小企业发展。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第四条</w:t>
      </w:r>
      <w:r>
        <w:rPr>
          <w:rFonts w:hint="eastAsia" w:asciiTheme="minorEastAsia" w:hAnsiTheme="minorEastAsia" w:eastAsiaTheme="minorEastAsia"/>
          <w:color w:val="333333"/>
          <w:sz w:val="21"/>
          <w:szCs w:val="21"/>
        </w:rPr>
        <w:t>　在政府采购活动中，供应商提供的货物、工程或者服务符合下列情形的，享受本办法规定的中小企业扶持政策：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（一）在货物采购项目中，货物由中小企业制造，即货物由中小企业生产且使用该中小企业商号或者注册商标；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（二）在工程采购项目中，工程由中小企业承建，即工程施工单位为中小企业；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（三）在服务采购项目中，服务由中小企业承接，即提供服务的人员为中小企业依照《中华人民共和国劳动合同法》订立劳动合同的从业人员。</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在货物采购项目中，供应商提供的货物既有中小企业制造货物，也有大型企业制造货物的，不享受本办法规定的中小企业扶持政策。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以联合体形式参加政府采购活动，联合体各方均为中小企业的，联合体视同中小企业。其中，联合体各方均为小微企业的，联合体视同小微企业。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第五条</w:t>
      </w:r>
      <w:r>
        <w:rPr>
          <w:rFonts w:hint="eastAsia" w:asciiTheme="minorEastAsia" w:hAnsiTheme="minorEastAsia" w:eastAsiaTheme="minorEastAsia"/>
          <w:color w:val="333333"/>
          <w:sz w:val="21"/>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第六条</w:t>
      </w:r>
      <w:r>
        <w:rPr>
          <w:rFonts w:hint="eastAsia" w:asciiTheme="minorEastAsia" w:hAnsiTheme="minorEastAsia" w:eastAsiaTheme="minorEastAsia"/>
          <w:color w:val="333333"/>
          <w:sz w:val="21"/>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符合下列情形之一的，可不专门面向中小企业预留采购份额：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（一）法律法规和国家有关政策明确规定优先或者应当面向事业单位、社会组织等非企业主体采购的；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（二）因确需使用不可替代的专利、专有技术，基础设施限制，或者提供特定公共服务等原因，只能从中小企业之外的供应商处采购的；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（三）按照本办法规定预留采购份额无法确保充分供应、充分竞争，或者存在可能影响政府采购目标实现的情形；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（四）框架协议采购项目；</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（五）省级以上人民政府财政部门规定的其他情形。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除上述情形外，其他均为适宜由中小企业提供的情形。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第七条</w:t>
      </w:r>
      <w:r>
        <w:rPr>
          <w:rFonts w:hint="eastAsia" w:asciiTheme="minorEastAsia" w:hAnsiTheme="minorEastAsia" w:eastAsiaTheme="minorEastAsia"/>
          <w:color w:val="333333"/>
          <w:sz w:val="21"/>
          <w:szCs w:val="21"/>
        </w:rPr>
        <w:t>　采购限额标准以上，200万元以下的货物和服务采购项目、400万元以下的工程采购项目，适宜由中小企业提供的，采购人应当专门面向中小企业采购。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第八条</w:t>
      </w:r>
      <w:r>
        <w:rPr>
          <w:rFonts w:hint="eastAsia" w:asciiTheme="minorEastAsia" w:hAnsiTheme="minorEastAsia" w:eastAsiaTheme="minorEastAsia"/>
          <w:color w:val="333333"/>
          <w:sz w:val="21"/>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（一）将采购项目整体或者设置采购包专门面向中小企业采购；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（二）要求供应商以联合体形式参加采购活动，且联合体中中小企业承担的部分达到一定比例；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（三）要求获得采购合同的供应商将采购项目中的一定比例分包给一家或者多家中小企业。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组成联合体或者接受分包合同的中小企业与联合体内其他企业、分包企业之间不得存在直接控股、管理关系。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第九条</w:t>
      </w:r>
      <w:r>
        <w:rPr>
          <w:rFonts w:hint="eastAsia" w:asciiTheme="minorEastAsia" w:hAnsiTheme="minorEastAsia" w:eastAsiaTheme="minorEastAsia"/>
          <w:color w:val="333333"/>
          <w:sz w:val="21"/>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第十条</w:t>
      </w:r>
      <w:r>
        <w:rPr>
          <w:rFonts w:hint="eastAsia" w:asciiTheme="minorEastAsia" w:hAnsiTheme="minorEastAsia" w:eastAsiaTheme="minorEastAsia"/>
          <w:color w:val="333333"/>
          <w:sz w:val="21"/>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第十一条</w:t>
      </w:r>
      <w:r>
        <w:rPr>
          <w:rFonts w:hint="eastAsia" w:asciiTheme="minorEastAsia" w:hAnsiTheme="minorEastAsia" w:eastAsiaTheme="minorEastAsia"/>
          <w:color w:val="333333"/>
          <w:sz w:val="21"/>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第十二条</w:t>
      </w:r>
      <w:r>
        <w:rPr>
          <w:rFonts w:hint="eastAsia" w:asciiTheme="minorEastAsia" w:hAnsiTheme="minorEastAsia" w:eastAsiaTheme="minorEastAsia"/>
          <w:color w:val="333333"/>
          <w:sz w:val="21"/>
          <w:szCs w:val="21"/>
        </w:rPr>
        <w:t>　采购项目涉及中小企业采购的，采购文件应当明确以下内容：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（一）预留份额的采购项目或者采购包，明确该项目或相关采购包专门面向中小企业采购，以及相关标的及预算金额；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（二）要求以联合体形式参加或者合同分包的，明确联合协议或者分包意向协议中中小企业合同金额应当达到的比例，并作为供应商资格条件；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（三）非预留份额的采购项目或者采购包，明确有关价格扣除比例或者价格分加分比例；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（四）规定依据本办法规定享受扶持政策获得政府采购合同的，小微企业不得将合同分包给大中型企业，中型企业不得将合同分包给大型企业；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（五）采购人认为具备相关条件的，明确对中小企业在资金支付期限、预付款比例等方面的优惠措施；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（六）明确采购标的对应的中小企业划分标准所属行业；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（七）法律法规和省级以上人民政府财政部门规定的其他事项。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第十三条</w:t>
      </w:r>
      <w:r>
        <w:rPr>
          <w:rFonts w:hint="eastAsia" w:asciiTheme="minorEastAsia" w:hAnsiTheme="minorEastAsia" w:eastAsiaTheme="minorEastAsia"/>
          <w:color w:val="333333"/>
          <w:sz w:val="21"/>
          <w:szCs w:val="21"/>
        </w:rPr>
        <w:t>　中标、成交供应商享受本办法规定的中小企业扶持政策的，采购人、采购代理机构应当随中标、成交结果公开中标、成交供应商的《中小企业声明函》。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适用招标投标法的政府采购工程建设项目，应当在公示中标候选人时公开中标候选人的《中小企业声明函》。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第十四条</w:t>
      </w:r>
      <w:r>
        <w:rPr>
          <w:rFonts w:hint="eastAsia" w:asciiTheme="minorEastAsia" w:hAnsiTheme="minorEastAsia" w:eastAsiaTheme="minorEastAsia"/>
          <w:color w:val="333333"/>
          <w:sz w:val="21"/>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第十五条</w:t>
      </w:r>
      <w:r>
        <w:rPr>
          <w:rFonts w:hint="eastAsia" w:asciiTheme="minorEastAsia" w:hAnsiTheme="minorEastAsia" w:eastAsiaTheme="minorEastAsia"/>
          <w:color w:val="333333"/>
          <w:sz w:val="21"/>
          <w:szCs w:val="21"/>
        </w:rPr>
        <w:t>　鼓励各地区、各部门在采购活动中允许中小企业引入信用担保手段，为中小企业在投标（响应）保证、履约保证等方面提供专业化服务。鼓励中小企业依法合规通过政府采购合同融资。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第十六条</w:t>
      </w:r>
      <w:r>
        <w:rPr>
          <w:rFonts w:hint="eastAsia" w:asciiTheme="minorEastAsia" w:hAnsiTheme="minorEastAsia" w:eastAsiaTheme="minorEastAsia"/>
          <w:color w:val="333333"/>
          <w:sz w:val="21"/>
          <w:szCs w:val="21"/>
        </w:rPr>
        <w:t>　政府采购监督检查、投诉处理及政府采购行政处罚中对中小企业的认定，由货物制造商或者工程、服务供应商注册登记所在地的县级以上人民政府中小企业主管部门负责。</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中小企业主管部门应当在收到财政部门或者有关招标投标行政监督部门关于协助开展中小企业认定函后10个工作日内做出书面答复。</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第十七条</w:t>
      </w:r>
      <w:r>
        <w:rPr>
          <w:rFonts w:hint="eastAsia" w:asciiTheme="minorEastAsia" w:hAnsiTheme="minorEastAsia" w:eastAsiaTheme="minorEastAsia"/>
          <w:color w:val="333333"/>
          <w:sz w:val="21"/>
          <w:szCs w:val="21"/>
        </w:rPr>
        <w:t>　各地区、各部门应当对涉及中小企业采购的预算项目实施全过程绩效管理，合理设置绩效目标和指标，落实扶持中小企业有关政策要求，定期开展绩效监控和评价，强化绩效评价结果应用。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第十八条</w:t>
      </w:r>
      <w:r>
        <w:rPr>
          <w:rFonts w:hint="eastAsia" w:asciiTheme="minorEastAsia" w:hAnsiTheme="minorEastAsia" w:eastAsiaTheme="minorEastAsia"/>
          <w:color w:val="333333"/>
          <w:sz w:val="21"/>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第十九条</w:t>
      </w:r>
      <w:r>
        <w:rPr>
          <w:rFonts w:hint="eastAsia" w:asciiTheme="minorEastAsia" w:hAnsiTheme="minorEastAsia" w:eastAsiaTheme="minorEastAsia"/>
          <w:color w:val="333333"/>
          <w:sz w:val="21"/>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第二十条</w:t>
      </w:r>
      <w:r>
        <w:rPr>
          <w:rFonts w:hint="eastAsia" w:asciiTheme="minorEastAsia" w:hAnsiTheme="minorEastAsia" w:eastAsiaTheme="minorEastAsia"/>
          <w:color w:val="333333"/>
          <w:sz w:val="21"/>
          <w:szCs w:val="21"/>
        </w:rPr>
        <w:t>　供应商按照本办法规定提供声明函内容不实的，属于提供虚假材料谋取中标、成交，依照《中华人民共和国政府采购法》等国家有关规定追究相应责任。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第二十一条</w:t>
      </w:r>
      <w:r>
        <w:rPr>
          <w:rFonts w:hint="eastAsia" w:asciiTheme="minorEastAsia" w:hAnsiTheme="minorEastAsia" w:eastAsiaTheme="minorEastAsia"/>
          <w:color w:val="333333"/>
          <w:sz w:val="21"/>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第二十二条</w:t>
      </w:r>
      <w:r>
        <w:rPr>
          <w:rFonts w:hint="eastAsia" w:asciiTheme="minorEastAsia" w:hAnsiTheme="minorEastAsia" w:eastAsiaTheme="minorEastAsia"/>
          <w:color w:val="333333"/>
          <w:sz w:val="21"/>
          <w:szCs w:val="21"/>
        </w:rPr>
        <w:t>　对外援助项目、国家相关资格或者资质管理制度另有规定的项目，不适用本办法。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第二十三条</w:t>
      </w:r>
      <w:r>
        <w:rPr>
          <w:rFonts w:hint="eastAsia" w:asciiTheme="minorEastAsia" w:hAnsiTheme="minorEastAsia" w:eastAsiaTheme="minorEastAsia"/>
          <w:color w:val="333333"/>
          <w:sz w:val="21"/>
          <w:szCs w:val="21"/>
        </w:rPr>
        <w:t>　关于视同中小企业的其他主体的政府采购扶持政策，由财政部会同有关部门另行规定。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第二十四条</w:t>
      </w:r>
      <w:r>
        <w:rPr>
          <w:rFonts w:hint="eastAsia" w:asciiTheme="minorEastAsia" w:hAnsiTheme="minorEastAsia" w:eastAsiaTheme="minorEastAsia"/>
          <w:color w:val="333333"/>
          <w:sz w:val="21"/>
          <w:szCs w:val="21"/>
        </w:rPr>
        <w:t>　省级财政部门可以会同中小企业主管部门根据本办法的规定制定具体实施办法。</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第二十五条</w:t>
      </w:r>
      <w:r>
        <w:rPr>
          <w:rFonts w:hint="eastAsia" w:asciiTheme="minorEastAsia" w:hAnsiTheme="minorEastAsia" w:eastAsiaTheme="minorEastAsia"/>
          <w:color w:val="333333"/>
          <w:sz w:val="21"/>
          <w:szCs w:val="21"/>
        </w:rPr>
        <w:t>　本办法自2021年1月1日起施行。《财政部 工业和信息化部关于印发〈政府采购促进中小企业发展暂行办法〉的通知》（财库〔2011〕181号）同时废止。</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p>
    <w:p>
      <w:pPr>
        <w:spacing w:line="360" w:lineRule="auto"/>
        <w:rPr>
          <w:rFonts w:asciiTheme="minorEastAsia" w:hAnsiTheme="minorEastAsia" w:eastAsiaTheme="minorEastAsia"/>
          <w:szCs w:val="21"/>
        </w:rPr>
      </w:pPr>
    </w:p>
    <w:p>
      <w:pPr>
        <w:pStyle w:val="5"/>
        <w:spacing w:before="0" w:after="0"/>
        <w:jc w:val="center"/>
      </w:pPr>
      <w:bookmarkStart w:id="95" w:name="_Toc73610163"/>
      <w:bookmarkStart w:id="96" w:name="_Toc17197"/>
      <w:r>
        <w:rPr>
          <w:rFonts w:hint="eastAsia"/>
        </w:rPr>
        <w:t>二、关于印发中小企业划型标准规定的通知</w:t>
      </w:r>
      <w:bookmarkEnd w:id="95"/>
      <w:bookmarkEnd w:id="96"/>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工信部联企业〔2011〕300号</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各省、自治区、直辖市人民政府，国务院各部委、各直属机构及有关单位：</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45"/>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工业和信息化部　国家统计局</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国家发展和改革委员会　财政部</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二○一一年六月十八日</w:t>
      </w:r>
    </w:p>
    <w:p>
      <w:pPr>
        <w:pStyle w:val="45"/>
        <w:shd w:val="clear" w:color="auto" w:fill="FFFFFF"/>
        <w:spacing w:line="360" w:lineRule="auto"/>
        <w:jc w:val="center"/>
        <w:rPr>
          <w:rFonts w:asciiTheme="minorEastAsia" w:hAnsiTheme="minorEastAsia" w:eastAsiaTheme="minorEastAsia"/>
          <w:color w:val="000000"/>
          <w:sz w:val="21"/>
          <w:szCs w:val="21"/>
        </w:rPr>
      </w:pPr>
      <w:r>
        <w:rPr>
          <w:rStyle w:val="53"/>
          <w:rFonts w:hint="eastAsia" w:asciiTheme="minorEastAsia" w:hAnsiTheme="minorEastAsia" w:eastAsiaTheme="minorEastAsia"/>
          <w:color w:val="000000"/>
          <w:sz w:val="21"/>
          <w:szCs w:val="21"/>
        </w:rPr>
        <w:t>中小企业划型标准规定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一、根据《中华人民共和国中小企业促进法》和《国务院关于进一步促进中小企业发展的若干意见》(国发〔2009〕36号)，制定本规定。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二、中小企业划分为中型、小型、微型三种类型，具体标准根据企业从业人员、营业收入、资产总额等指标，结合行业特点制定。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四、各行业划型标准为：</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（一）农、林、牧、渔业。营业收入20000万元以下的为中小微型企业。其中，营业收入500万元及以上的为中型企业，营业收入50万元及以上的为小型企业，营业收入50万元以下的为微型企业。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（十六）其他未列明行业。从业人员300人以下的为中小微型企业。其中，从业人员100人及以上的为中型企业；从业人员10人及以上的为小型企业；从业人员10人以下的为微型企业。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五、企业类型的划分以统计部门的统计数据为依据。</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六、本规定适用于在中华人民共和国境内依法设立的各类所有制和各种组织形式的企业。个体工商户和本规定以外的行业，参照本规定进行划型。</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八、本规定由工业和信息化部、国家统计局会同有关部门根据《国民经济行业分类》修订情况和企业发展变化情况适时修订。</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九、本规定由工业和信息化部、国家统计局会同有关部门负责解释。</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十、本规定自发布之日起执行，原国家经贸委、原国家计委、财政部和国家统计局2003年颁布的《中小企业标准暂行规定》同时废止。</w:t>
      </w:r>
    </w:p>
    <w:p>
      <w:pPr>
        <w:pStyle w:val="45"/>
        <w:shd w:val="clear" w:color="auto" w:fill="FFFFFF"/>
        <w:spacing w:line="360" w:lineRule="auto"/>
        <w:rPr>
          <w:rFonts w:asciiTheme="minorEastAsia" w:hAnsiTheme="minorEastAsia" w:eastAsiaTheme="minorEastAsia"/>
          <w:color w:val="000000"/>
          <w:sz w:val="21"/>
          <w:szCs w:val="21"/>
        </w:rPr>
      </w:pPr>
    </w:p>
    <w:p>
      <w:pPr>
        <w:pStyle w:val="5"/>
        <w:spacing w:before="0" w:after="0"/>
        <w:jc w:val="center"/>
        <w:rPr>
          <w:rFonts w:asciiTheme="minorEastAsia" w:hAnsiTheme="minorEastAsia"/>
        </w:rPr>
      </w:pPr>
      <w:bookmarkStart w:id="97" w:name="_Toc73610164"/>
      <w:bookmarkStart w:id="98" w:name="_Toc11794"/>
      <w:r>
        <w:rPr>
          <w:rFonts w:hint="eastAsia" w:asciiTheme="minorEastAsia" w:hAnsiTheme="minorEastAsia"/>
          <w:bCs w:val="0"/>
        </w:rPr>
        <w:t>三、</w:t>
      </w:r>
      <w:r>
        <w:rPr>
          <w:rFonts w:asciiTheme="minorEastAsia" w:hAnsiTheme="minorEastAsia"/>
          <w:bCs w:val="0"/>
        </w:rPr>
        <w:t>国家统计局关于印发《统计上大中小微型企业划分办法 （2017）》的通知</w:t>
      </w:r>
      <w:bookmarkEnd w:id="97"/>
      <w:r>
        <w:rPr>
          <w:rFonts w:asciiTheme="minorEastAsia" w:hAnsiTheme="minorEastAsia"/>
          <w:bCs w:val="0"/>
        </w:rPr>
        <w:t> </w:t>
      </w:r>
      <w:bookmarkEnd w:id="98"/>
    </w:p>
    <w:p>
      <w:pPr>
        <w:widowControl/>
        <w:shd w:val="clear" w:color="auto" w:fill="FFFFFF"/>
        <w:spacing w:line="360" w:lineRule="auto"/>
        <w:jc w:val="left"/>
        <w:rPr>
          <w:rFonts w:cs="Arial" w:asciiTheme="minorEastAsia" w:hAnsiTheme="minorEastAsia" w:eastAsiaTheme="minorEastAsia"/>
          <w:color w:val="999999"/>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0"/>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tblHeader/>
          <w:jc w:val="center"/>
        </w:trPr>
        <w:tc>
          <w:tcPr>
            <w:tcW w:w="21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计量</w:t>
            </w:r>
            <w:r>
              <w:rPr>
                <w:rFonts w:hint="eastAsia" w:cs="宋体" w:asciiTheme="minorEastAsia" w:hAnsiTheme="minorEastAsia" w:eastAsiaTheme="minorEastAsia"/>
                <w:b/>
                <w:bCs/>
                <w:color w:val="000000"/>
                <w:kern w:val="0"/>
                <w:szCs w:val="21"/>
              </w:rPr>
              <w:br w:type="textWrapping"/>
            </w:r>
            <w:r>
              <w:rPr>
                <w:rFonts w:hint="eastAsia" w:cs="宋体" w:asciiTheme="minorEastAsia" w:hAnsiTheme="minorEastAsia" w:eastAsiaTheme="minorEastAsia"/>
                <w:b/>
                <w:bCs/>
                <w:color w:val="000000"/>
                <w:kern w:val="0"/>
                <w:szCs w:val="21"/>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小型</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万元</w:t>
            </w:r>
          </w:p>
        </w:tc>
        <w:tc>
          <w:tcPr>
            <w:tcW w:w="112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Y≥20000</w:t>
            </w:r>
          </w:p>
        </w:tc>
        <w:tc>
          <w:tcPr>
            <w:tcW w:w="170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 50≤Y＜500</w:t>
            </w:r>
          </w:p>
        </w:tc>
        <w:tc>
          <w:tcPr>
            <w:tcW w:w="99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工业 *</w:t>
            </w:r>
          </w:p>
        </w:tc>
        <w:tc>
          <w:tcPr>
            <w:tcW w:w="1369"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从业人员(X)</w:t>
            </w:r>
          </w:p>
        </w:tc>
        <w:tc>
          <w:tcPr>
            <w:tcW w:w="709"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人</w:t>
            </w:r>
          </w:p>
        </w:tc>
        <w:tc>
          <w:tcPr>
            <w:tcW w:w="1125"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X≥1000</w:t>
            </w:r>
          </w:p>
        </w:tc>
        <w:tc>
          <w:tcPr>
            <w:tcW w:w="1701"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300≤X＜1000</w:t>
            </w:r>
          </w:p>
        </w:tc>
        <w:tc>
          <w:tcPr>
            <w:tcW w:w="1426"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 20≤X＜300</w:t>
            </w:r>
          </w:p>
        </w:tc>
        <w:tc>
          <w:tcPr>
            <w:tcW w:w="992"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Cs w:val="21"/>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万元</w:t>
            </w:r>
          </w:p>
        </w:tc>
        <w:tc>
          <w:tcPr>
            <w:tcW w:w="112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Y≥40000</w:t>
            </w:r>
          </w:p>
        </w:tc>
        <w:tc>
          <w:tcPr>
            <w:tcW w:w="170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 300≤Y＜2000</w:t>
            </w:r>
          </w:p>
        </w:tc>
        <w:tc>
          <w:tcPr>
            <w:tcW w:w="99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建筑业</w:t>
            </w:r>
          </w:p>
        </w:tc>
        <w:tc>
          <w:tcPr>
            <w:tcW w:w="1369"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营业收入(Y)</w:t>
            </w:r>
          </w:p>
        </w:tc>
        <w:tc>
          <w:tcPr>
            <w:tcW w:w="709"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万元</w:t>
            </w:r>
          </w:p>
        </w:tc>
        <w:tc>
          <w:tcPr>
            <w:tcW w:w="1125"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Y≥80000</w:t>
            </w:r>
          </w:p>
        </w:tc>
        <w:tc>
          <w:tcPr>
            <w:tcW w:w="1701"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6000≤Y＜80000</w:t>
            </w:r>
          </w:p>
        </w:tc>
        <w:tc>
          <w:tcPr>
            <w:tcW w:w="1426"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 300≤Y＜6000</w:t>
            </w:r>
          </w:p>
        </w:tc>
        <w:tc>
          <w:tcPr>
            <w:tcW w:w="992"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Cs w:val="21"/>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万元</w:t>
            </w:r>
          </w:p>
        </w:tc>
        <w:tc>
          <w:tcPr>
            <w:tcW w:w="112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Z≥80000</w:t>
            </w:r>
          </w:p>
        </w:tc>
        <w:tc>
          <w:tcPr>
            <w:tcW w:w="170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 300≤Z＜5000</w:t>
            </w:r>
          </w:p>
        </w:tc>
        <w:tc>
          <w:tcPr>
            <w:tcW w:w="99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批发业</w:t>
            </w:r>
          </w:p>
        </w:tc>
        <w:tc>
          <w:tcPr>
            <w:tcW w:w="1369"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从业人员(X)</w:t>
            </w:r>
          </w:p>
        </w:tc>
        <w:tc>
          <w:tcPr>
            <w:tcW w:w="709"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人</w:t>
            </w:r>
          </w:p>
        </w:tc>
        <w:tc>
          <w:tcPr>
            <w:tcW w:w="1125"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X≥200</w:t>
            </w:r>
          </w:p>
        </w:tc>
        <w:tc>
          <w:tcPr>
            <w:tcW w:w="1701"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20≤X＜200</w:t>
            </w:r>
          </w:p>
        </w:tc>
        <w:tc>
          <w:tcPr>
            <w:tcW w:w="1426"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 5≤X＜20</w:t>
            </w:r>
          </w:p>
        </w:tc>
        <w:tc>
          <w:tcPr>
            <w:tcW w:w="992"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Cs w:val="21"/>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万元</w:t>
            </w:r>
          </w:p>
        </w:tc>
        <w:tc>
          <w:tcPr>
            <w:tcW w:w="112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Y≥40000</w:t>
            </w:r>
          </w:p>
        </w:tc>
        <w:tc>
          <w:tcPr>
            <w:tcW w:w="170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spacing w:line="360" w:lineRule="auto"/>
              <w:ind w:left="-1" w:leftChars="-1" w:hanging="1"/>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1000≤Y＜5000</w:t>
            </w:r>
          </w:p>
        </w:tc>
        <w:tc>
          <w:tcPr>
            <w:tcW w:w="99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零售业</w:t>
            </w:r>
          </w:p>
        </w:tc>
        <w:tc>
          <w:tcPr>
            <w:tcW w:w="1369"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从业人员(X)</w:t>
            </w:r>
          </w:p>
        </w:tc>
        <w:tc>
          <w:tcPr>
            <w:tcW w:w="709"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人</w:t>
            </w:r>
          </w:p>
        </w:tc>
        <w:tc>
          <w:tcPr>
            <w:tcW w:w="1125"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X≥300</w:t>
            </w:r>
          </w:p>
        </w:tc>
        <w:tc>
          <w:tcPr>
            <w:tcW w:w="1701"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50≤X＜300</w:t>
            </w:r>
          </w:p>
        </w:tc>
        <w:tc>
          <w:tcPr>
            <w:tcW w:w="1426" w:type="dxa"/>
            <w:tcBorders>
              <w:top w:val="nil"/>
              <w:left w:val="nil"/>
              <w:bottom w:val="nil"/>
              <w:right w:val="single" w:color="auto" w:sz="4" w:space="0"/>
            </w:tcBorders>
            <w:shd w:val="clear" w:color="auto" w:fill="auto"/>
            <w:vAlign w:val="center"/>
          </w:tcPr>
          <w:p>
            <w:pPr>
              <w:widowControl/>
              <w:spacing w:line="360" w:lineRule="auto"/>
              <w:ind w:left="-1" w:leftChars="-1" w:hanging="1"/>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10≤X＜50 </w:t>
            </w:r>
          </w:p>
        </w:tc>
        <w:tc>
          <w:tcPr>
            <w:tcW w:w="992"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Cs w:val="21"/>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万元</w:t>
            </w:r>
          </w:p>
        </w:tc>
        <w:tc>
          <w:tcPr>
            <w:tcW w:w="112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Y≥20000</w:t>
            </w:r>
          </w:p>
        </w:tc>
        <w:tc>
          <w:tcPr>
            <w:tcW w:w="170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spacing w:line="360" w:lineRule="auto"/>
              <w:ind w:left="-1" w:leftChars="-1" w:hanging="1"/>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100≤Y＜500 </w:t>
            </w:r>
          </w:p>
        </w:tc>
        <w:tc>
          <w:tcPr>
            <w:tcW w:w="99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交通运输业 *</w:t>
            </w:r>
          </w:p>
        </w:tc>
        <w:tc>
          <w:tcPr>
            <w:tcW w:w="1369"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从业人员(X)</w:t>
            </w:r>
          </w:p>
        </w:tc>
        <w:tc>
          <w:tcPr>
            <w:tcW w:w="709"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人</w:t>
            </w:r>
          </w:p>
        </w:tc>
        <w:tc>
          <w:tcPr>
            <w:tcW w:w="1125"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X≥1000</w:t>
            </w:r>
          </w:p>
        </w:tc>
        <w:tc>
          <w:tcPr>
            <w:tcW w:w="1701"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300≤X＜1000</w:t>
            </w:r>
          </w:p>
        </w:tc>
        <w:tc>
          <w:tcPr>
            <w:tcW w:w="1426"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 20≤X＜300</w:t>
            </w:r>
          </w:p>
        </w:tc>
        <w:tc>
          <w:tcPr>
            <w:tcW w:w="992"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Cs w:val="21"/>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万元</w:t>
            </w:r>
          </w:p>
        </w:tc>
        <w:tc>
          <w:tcPr>
            <w:tcW w:w="112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Y≥30000</w:t>
            </w:r>
          </w:p>
        </w:tc>
        <w:tc>
          <w:tcPr>
            <w:tcW w:w="170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 200≤Y＜3000</w:t>
            </w:r>
          </w:p>
        </w:tc>
        <w:tc>
          <w:tcPr>
            <w:tcW w:w="99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仓储业*</w:t>
            </w:r>
          </w:p>
        </w:tc>
        <w:tc>
          <w:tcPr>
            <w:tcW w:w="1369"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从业人员(X)</w:t>
            </w:r>
          </w:p>
        </w:tc>
        <w:tc>
          <w:tcPr>
            <w:tcW w:w="709"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人</w:t>
            </w:r>
          </w:p>
        </w:tc>
        <w:tc>
          <w:tcPr>
            <w:tcW w:w="1125"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X≥200</w:t>
            </w:r>
          </w:p>
        </w:tc>
        <w:tc>
          <w:tcPr>
            <w:tcW w:w="1701" w:type="dxa"/>
            <w:tcBorders>
              <w:top w:val="nil"/>
              <w:left w:val="nil"/>
              <w:bottom w:val="nil"/>
              <w:right w:val="single" w:color="auto" w:sz="4" w:space="0"/>
            </w:tcBorders>
            <w:shd w:val="clear" w:color="auto" w:fill="auto"/>
            <w:vAlign w:val="center"/>
          </w:tcPr>
          <w:p>
            <w:pPr>
              <w:widowControl/>
              <w:spacing w:line="360" w:lineRule="auto"/>
              <w:ind w:left="19" w:leftChars="-51" w:hanging="126" w:hangingChars="60"/>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100≤X＜200</w:t>
            </w:r>
          </w:p>
        </w:tc>
        <w:tc>
          <w:tcPr>
            <w:tcW w:w="1426"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 20≤X＜100</w:t>
            </w:r>
          </w:p>
        </w:tc>
        <w:tc>
          <w:tcPr>
            <w:tcW w:w="992"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Cs w:val="21"/>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万元</w:t>
            </w:r>
          </w:p>
        </w:tc>
        <w:tc>
          <w:tcPr>
            <w:tcW w:w="112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Y≥30000</w:t>
            </w:r>
          </w:p>
        </w:tc>
        <w:tc>
          <w:tcPr>
            <w:tcW w:w="170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 100≤Y＜1000</w:t>
            </w:r>
          </w:p>
        </w:tc>
        <w:tc>
          <w:tcPr>
            <w:tcW w:w="99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邮政业</w:t>
            </w:r>
          </w:p>
        </w:tc>
        <w:tc>
          <w:tcPr>
            <w:tcW w:w="1369"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从业人员(X)</w:t>
            </w:r>
          </w:p>
        </w:tc>
        <w:tc>
          <w:tcPr>
            <w:tcW w:w="709"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人</w:t>
            </w:r>
          </w:p>
        </w:tc>
        <w:tc>
          <w:tcPr>
            <w:tcW w:w="1125"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X≥1000</w:t>
            </w:r>
          </w:p>
        </w:tc>
        <w:tc>
          <w:tcPr>
            <w:tcW w:w="1701"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300≤X＜1000</w:t>
            </w:r>
          </w:p>
        </w:tc>
        <w:tc>
          <w:tcPr>
            <w:tcW w:w="1426"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 20≤X＜300</w:t>
            </w:r>
          </w:p>
        </w:tc>
        <w:tc>
          <w:tcPr>
            <w:tcW w:w="992"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Cs w:val="21"/>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万元</w:t>
            </w:r>
          </w:p>
        </w:tc>
        <w:tc>
          <w:tcPr>
            <w:tcW w:w="112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Y≥30000</w:t>
            </w:r>
          </w:p>
        </w:tc>
        <w:tc>
          <w:tcPr>
            <w:tcW w:w="170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 100≤Y＜2000</w:t>
            </w:r>
          </w:p>
        </w:tc>
        <w:tc>
          <w:tcPr>
            <w:tcW w:w="99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住宿业</w:t>
            </w:r>
          </w:p>
        </w:tc>
        <w:tc>
          <w:tcPr>
            <w:tcW w:w="1369"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从业人员(X)</w:t>
            </w:r>
          </w:p>
        </w:tc>
        <w:tc>
          <w:tcPr>
            <w:tcW w:w="709"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人</w:t>
            </w:r>
          </w:p>
        </w:tc>
        <w:tc>
          <w:tcPr>
            <w:tcW w:w="1125"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X≥300</w:t>
            </w:r>
          </w:p>
        </w:tc>
        <w:tc>
          <w:tcPr>
            <w:tcW w:w="1701" w:type="dxa"/>
            <w:tcBorders>
              <w:top w:val="nil"/>
              <w:left w:val="nil"/>
              <w:bottom w:val="nil"/>
              <w:right w:val="single" w:color="auto" w:sz="4" w:space="0"/>
            </w:tcBorders>
            <w:shd w:val="clear" w:color="auto" w:fill="auto"/>
            <w:vAlign w:val="center"/>
          </w:tcPr>
          <w:p>
            <w:pPr>
              <w:widowControl/>
              <w:spacing w:line="360" w:lineRule="auto"/>
              <w:ind w:left="19" w:leftChars="-51" w:hanging="126" w:hangingChars="60"/>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100≤X＜300 </w:t>
            </w:r>
          </w:p>
        </w:tc>
        <w:tc>
          <w:tcPr>
            <w:tcW w:w="1426"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 10≤X＜100</w:t>
            </w:r>
          </w:p>
        </w:tc>
        <w:tc>
          <w:tcPr>
            <w:tcW w:w="992"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Cs w:val="21"/>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万元</w:t>
            </w:r>
          </w:p>
        </w:tc>
        <w:tc>
          <w:tcPr>
            <w:tcW w:w="112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Y≥10000</w:t>
            </w:r>
          </w:p>
        </w:tc>
        <w:tc>
          <w:tcPr>
            <w:tcW w:w="170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 100≤Y＜2000</w:t>
            </w:r>
          </w:p>
        </w:tc>
        <w:tc>
          <w:tcPr>
            <w:tcW w:w="99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餐饮业</w:t>
            </w:r>
          </w:p>
        </w:tc>
        <w:tc>
          <w:tcPr>
            <w:tcW w:w="1369"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从业人员(X)</w:t>
            </w:r>
          </w:p>
        </w:tc>
        <w:tc>
          <w:tcPr>
            <w:tcW w:w="709"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人</w:t>
            </w:r>
          </w:p>
        </w:tc>
        <w:tc>
          <w:tcPr>
            <w:tcW w:w="1125"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X≥300</w:t>
            </w:r>
          </w:p>
        </w:tc>
        <w:tc>
          <w:tcPr>
            <w:tcW w:w="1701" w:type="dxa"/>
            <w:tcBorders>
              <w:top w:val="nil"/>
              <w:left w:val="nil"/>
              <w:bottom w:val="nil"/>
              <w:right w:val="single" w:color="auto" w:sz="4" w:space="0"/>
            </w:tcBorders>
            <w:shd w:val="clear" w:color="auto" w:fill="auto"/>
            <w:vAlign w:val="center"/>
          </w:tcPr>
          <w:p>
            <w:pPr>
              <w:widowControl/>
              <w:spacing w:line="360" w:lineRule="auto"/>
              <w:ind w:left="19" w:leftChars="-51" w:hanging="126" w:hangingChars="60"/>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100≤X＜300 </w:t>
            </w:r>
          </w:p>
        </w:tc>
        <w:tc>
          <w:tcPr>
            <w:tcW w:w="1426"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 10≤X＜100</w:t>
            </w:r>
          </w:p>
        </w:tc>
        <w:tc>
          <w:tcPr>
            <w:tcW w:w="992"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Cs w:val="21"/>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万元</w:t>
            </w:r>
          </w:p>
        </w:tc>
        <w:tc>
          <w:tcPr>
            <w:tcW w:w="112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Y≥10000</w:t>
            </w:r>
          </w:p>
        </w:tc>
        <w:tc>
          <w:tcPr>
            <w:tcW w:w="170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 100≤Y＜2000</w:t>
            </w:r>
          </w:p>
        </w:tc>
        <w:tc>
          <w:tcPr>
            <w:tcW w:w="99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信息传输业 *</w:t>
            </w:r>
          </w:p>
        </w:tc>
        <w:tc>
          <w:tcPr>
            <w:tcW w:w="1369"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从业人员(X)</w:t>
            </w:r>
          </w:p>
        </w:tc>
        <w:tc>
          <w:tcPr>
            <w:tcW w:w="709"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人</w:t>
            </w:r>
          </w:p>
        </w:tc>
        <w:tc>
          <w:tcPr>
            <w:tcW w:w="1125"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X≥2000</w:t>
            </w:r>
          </w:p>
        </w:tc>
        <w:tc>
          <w:tcPr>
            <w:tcW w:w="1701"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100≤X＜2000</w:t>
            </w:r>
          </w:p>
        </w:tc>
        <w:tc>
          <w:tcPr>
            <w:tcW w:w="1426"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 10≤X＜100</w:t>
            </w:r>
          </w:p>
        </w:tc>
        <w:tc>
          <w:tcPr>
            <w:tcW w:w="992"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Cs w:val="21"/>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万元</w:t>
            </w:r>
          </w:p>
        </w:tc>
        <w:tc>
          <w:tcPr>
            <w:tcW w:w="112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Y≥100000</w:t>
            </w:r>
          </w:p>
        </w:tc>
        <w:tc>
          <w:tcPr>
            <w:tcW w:w="170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 100≤Y＜1000</w:t>
            </w:r>
          </w:p>
        </w:tc>
        <w:tc>
          <w:tcPr>
            <w:tcW w:w="99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eastAsiaTheme="minorEastAsia"/>
                <w:color w:val="000000"/>
                <w:spacing w:val="-12"/>
                <w:kern w:val="0"/>
                <w:szCs w:val="21"/>
              </w:rPr>
            </w:pPr>
            <w:r>
              <w:rPr>
                <w:rFonts w:hint="eastAsia" w:cs="宋体" w:asciiTheme="minorEastAsia" w:hAnsiTheme="minorEastAsia" w:eastAsiaTheme="minorEastAsia"/>
                <w:color w:val="000000"/>
                <w:spacing w:val="-12"/>
                <w:kern w:val="0"/>
                <w:szCs w:val="21"/>
              </w:rPr>
              <w:t>软件和信息技术服</w:t>
            </w:r>
            <w:r>
              <w:rPr>
                <w:rFonts w:hint="eastAsia" w:cs="宋体" w:asciiTheme="minorEastAsia" w:hAnsiTheme="minorEastAsia" w:eastAsiaTheme="minorEastAsia"/>
                <w:color w:val="000000"/>
                <w:kern w:val="0"/>
                <w:szCs w:val="21"/>
              </w:rPr>
              <w:t>务业</w:t>
            </w:r>
          </w:p>
        </w:tc>
        <w:tc>
          <w:tcPr>
            <w:tcW w:w="1369"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从业人员(X)</w:t>
            </w:r>
          </w:p>
        </w:tc>
        <w:tc>
          <w:tcPr>
            <w:tcW w:w="709"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人</w:t>
            </w:r>
          </w:p>
        </w:tc>
        <w:tc>
          <w:tcPr>
            <w:tcW w:w="1125"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X≥300</w:t>
            </w:r>
          </w:p>
        </w:tc>
        <w:tc>
          <w:tcPr>
            <w:tcW w:w="1701" w:type="dxa"/>
            <w:tcBorders>
              <w:top w:val="nil"/>
              <w:left w:val="nil"/>
              <w:bottom w:val="nil"/>
              <w:right w:val="single" w:color="auto" w:sz="4" w:space="0"/>
            </w:tcBorders>
            <w:shd w:val="clear" w:color="auto" w:fill="auto"/>
            <w:vAlign w:val="center"/>
          </w:tcPr>
          <w:p>
            <w:pPr>
              <w:widowControl/>
              <w:spacing w:line="360" w:lineRule="auto"/>
              <w:ind w:left="19" w:leftChars="-51" w:hanging="126" w:hangingChars="60"/>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100≤X＜300 </w:t>
            </w:r>
          </w:p>
        </w:tc>
        <w:tc>
          <w:tcPr>
            <w:tcW w:w="1426"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 10≤X＜100</w:t>
            </w:r>
          </w:p>
        </w:tc>
        <w:tc>
          <w:tcPr>
            <w:tcW w:w="992"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spacing w:val="-12"/>
                <w:kern w:val="0"/>
                <w:szCs w:val="21"/>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万元</w:t>
            </w:r>
          </w:p>
        </w:tc>
        <w:tc>
          <w:tcPr>
            <w:tcW w:w="112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Y≥10000</w:t>
            </w:r>
          </w:p>
        </w:tc>
        <w:tc>
          <w:tcPr>
            <w:tcW w:w="170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  50≤Y＜1000</w:t>
            </w:r>
          </w:p>
        </w:tc>
        <w:tc>
          <w:tcPr>
            <w:tcW w:w="99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房地产开发经营</w:t>
            </w:r>
          </w:p>
        </w:tc>
        <w:tc>
          <w:tcPr>
            <w:tcW w:w="1369"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营业收入(Y)</w:t>
            </w:r>
          </w:p>
        </w:tc>
        <w:tc>
          <w:tcPr>
            <w:tcW w:w="709"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万元</w:t>
            </w:r>
          </w:p>
        </w:tc>
        <w:tc>
          <w:tcPr>
            <w:tcW w:w="1125"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Y≥200000</w:t>
            </w:r>
          </w:p>
        </w:tc>
        <w:tc>
          <w:tcPr>
            <w:tcW w:w="1701"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 1000≤Y＜200000</w:t>
            </w:r>
          </w:p>
        </w:tc>
        <w:tc>
          <w:tcPr>
            <w:tcW w:w="1426"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 100≤Y＜1000</w:t>
            </w:r>
          </w:p>
        </w:tc>
        <w:tc>
          <w:tcPr>
            <w:tcW w:w="992"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Cs w:val="21"/>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万元</w:t>
            </w:r>
          </w:p>
        </w:tc>
        <w:tc>
          <w:tcPr>
            <w:tcW w:w="112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Z≥10000</w:t>
            </w:r>
          </w:p>
        </w:tc>
        <w:tc>
          <w:tcPr>
            <w:tcW w:w="170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2000≤Z＜5000   </w:t>
            </w:r>
          </w:p>
        </w:tc>
        <w:tc>
          <w:tcPr>
            <w:tcW w:w="99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物业管理</w:t>
            </w:r>
          </w:p>
        </w:tc>
        <w:tc>
          <w:tcPr>
            <w:tcW w:w="1369"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从业人员(X)</w:t>
            </w:r>
          </w:p>
        </w:tc>
        <w:tc>
          <w:tcPr>
            <w:tcW w:w="709"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人</w:t>
            </w:r>
          </w:p>
        </w:tc>
        <w:tc>
          <w:tcPr>
            <w:tcW w:w="1125"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X≥1000</w:t>
            </w:r>
          </w:p>
        </w:tc>
        <w:tc>
          <w:tcPr>
            <w:tcW w:w="1701"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300≤X＜1000</w:t>
            </w:r>
          </w:p>
        </w:tc>
        <w:tc>
          <w:tcPr>
            <w:tcW w:w="1426"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100≤X＜300 </w:t>
            </w:r>
          </w:p>
        </w:tc>
        <w:tc>
          <w:tcPr>
            <w:tcW w:w="992"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Cs w:val="21"/>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万元</w:t>
            </w:r>
          </w:p>
        </w:tc>
        <w:tc>
          <w:tcPr>
            <w:tcW w:w="112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Y≥5000</w:t>
            </w:r>
          </w:p>
        </w:tc>
        <w:tc>
          <w:tcPr>
            <w:tcW w:w="1701" w:type="dxa"/>
            <w:tcBorders>
              <w:top w:val="nil"/>
              <w:left w:val="nil"/>
              <w:bottom w:val="single" w:color="auto" w:sz="4" w:space="0"/>
              <w:right w:val="single" w:color="auto" w:sz="4" w:space="0"/>
            </w:tcBorders>
            <w:shd w:val="clear" w:color="auto" w:fill="auto"/>
            <w:vAlign w:val="center"/>
          </w:tcPr>
          <w:p>
            <w:pPr>
              <w:widowControl/>
              <w:spacing w:line="360" w:lineRule="auto"/>
              <w:ind w:left="19" w:leftChars="-51" w:hanging="126" w:hangingChars="60"/>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 500≤Y＜1000</w:t>
            </w:r>
          </w:p>
        </w:tc>
        <w:tc>
          <w:tcPr>
            <w:tcW w:w="99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租赁和商务服务业</w:t>
            </w:r>
          </w:p>
        </w:tc>
        <w:tc>
          <w:tcPr>
            <w:tcW w:w="1369"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从业人员(X)</w:t>
            </w:r>
          </w:p>
        </w:tc>
        <w:tc>
          <w:tcPr>
            <w:tcW w:w="709"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人</w:t>
            </w:r>
          </w:p>
        </w:tc>
        <w:tc>
          <w:tcPr>
            <w:tcW w:w="1125"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X≥300</w:t>
            </w:r>
          </w:p>
        </w:tc>
        <w:tc>
          <w:tcPr>
            <w:tcW w:w="1701" w:type="dxa"/>
            <w:tcBorders>
              <w:top w:val="nil"/>
              <w:left w:val="nil"/>
              <w:bottom w:val="nil"/>
              <w:right w:val="single" w:color="auto" w:sz="4" w:space="0"/>
            </w:tcBorders>
            <w:shd w:val="clear" w:color="auto" w:fill="auto"/>
            <w:vAlign w:val="center"/>
          </w:tcPr>
          <w:p>
            <w:pPr>
              <w:widowControl/>
              <w:spacing w:line="360" w:lineRule="auto"/>
              <w:ind w:left="19" w:leftChars="-51" w:hanging="126" w:hangingChars="60"/>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100≤X＜300 </w:t>
            </w:r>
          </w:p>
        </w:tc>
        <w:tc>
          <w:tcPr>
            <w:tcW w:w="1426"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 10≤X＜100</w:t>
            </w:r>
          </w:p>
        </w:tc>
        <w:tc>
          <w:tcPr>
            <w:tcW w:w="992"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Cs w:val="21"/>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万元</w:t>
            </w:r>
          </w:p>
        </w:tc>
        <w:tc>
          <w:tcPr>
            <w:tcW w:w="112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Z≥120000</w:t>
            </w:r>
          </w:p>
        </w:tc>
        <w:tc>
          <w:tcPr>
            <w:tcW w:w="170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 100≤Z＜8000</w:t>
            </w:r>
          </w:p>
        </w:tc>
        <w:tc>
          <w:tcPr>
            <w:tcW w:w="99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Z＜100</w:t>
            </w:r>
          </w:p>
        </w:tc>
      </w:tr>
      <w:tr>
        <w:tblPrEx>
          <w:tblCellMar>
            <w:top w:w="0" w:type="dxa"/>
            <w:left w:w="108" w:type="dxa"/>
            <w:bottom w:w="0" w:type="dxa"/>
            <w:right w:w="108" w:type="dxa"/>
          </w:tblCellMar>
        </w:tblPrEx>
        <w:trPr>
          <w:trHeight w:val="397" w:hRule="exact"/>
          <w:jc w:val="center"/>
        </w:trPr>
        <w:tc>
          <w:tcPr>
            <w:tcW w:w="2113"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人</w:t>
            </w:r>
          </w:p>
        </w:tc>
        <w:tc>
          <w:tcPr>
            <w:tcW w:w="112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X≥300</w:t>
            </w:r>
          </w:p>
        </w:tc>
        <w:tc>
          <w:tcPr>
            <w:tcW w:w="1701" w:type="dxa"/>
            <w:tcBorders>
              <w:top w:val="nil"/>
              <w:left w:val="nil"/>
              <w:bottom w:val="single" w:color="auto" w:sz="4" w:space="0"/>
              <w:right w:val="single" w:color="auto" w:sz="4" w:space="0"/>
            </w:tcBorders>
            <w:shd w:val="clear" w:color="auto" w:fill="auto"/>
            <w:vAlign w:val="center"/>
          </w:tcPr>
          <w:p>
            <w:pPr>
              <w:widowControl/>
              <w:spacing w:line="360" w:lineRule="auto"/>
              <w:ind w:left="19" w:leftChars="-51" w:hanging="126" w:hangingChars="60"/>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 10≤X＜100</w:t>
            </w:r>
          </w:p>
        </w:tc>
        <w:tc>
          <w:tcPr>
            <w:tcW w:w="99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5"/>
        <w:spacing w:before="0" w:after="0"/>
        <w:jc w:val="center"/>
      </w:pPr>
      <w:bookmarkStart w:id="99" w:name="_Toc73610165"/>
      <w:bookmarkStart w:id="100" w:name="_Toc826"/>
      <w:r>
        <w:rPr>
          <w:rFonts w:hint="eastAsia"/>
        </w:rPr>
        <w:t>四、</w:t>
      </w:r>
      <w:r>
        <w:t>财政部 民政部 中国残疾人联合会关于促进残疾人就业 政府采购政策的通知</w:t>
      </w:r>
      <w:bookmarkEnd w:id="99"/>
      <w:bookmarkEnd w:id="100"/>
      <w:r>
        <w:t xml:space="preserve"> </w:t>
      </w:r>
    </w:p>
    <w:p>
      <w:pPr>
        <w:pStyle w:val="45"/>
        <w:shd w:val="clear" w:color="auto" w:fill="FFFFFF"/>
        <w:spacing w:line="360" w:lineRule="auto"/>
        <w:jc w:val="cente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cs="宋体" w:asciiTheme="minorEastAsia" w:hAnsiTheme="minorEastAsia" w:eastAsiaTheme="minorEastAsia"/>
          <w:kern w:val="0"/>
          <w:szCs w:val="21"/>
        </w:rPr>
      </w:pP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2017年8月22日</w:t>
      </w:r>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H Yb 2gj">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宋体"/>
    <w:panose1 w:val="00000000000000000000"/>
    <w:charset w:val="86"/>
    <w:family w:val="roman"/>
    <w:pitch w:val="default"/>
    <w:sig w:usb0="00000000" w:usb1="00000000" w:usb2="00000000" w:usb3="00000000" w:csb0="00040001" w:csb1="00000000"/>
  </w:font>
  <w:font w:name="Arial Unicode MS">
    <w:altName w:val="Malgun Gothic Semilight"/>
    <w:panose1 w:val="020B0604020202020204"/>
    <w:charset w:val="86"/>
    <w:family w:val="swiss"/>
    <w:pitch w:val="default"/>
    <w:sig w:usb0="00000000" w:usb1="00000000" w:usb2="0000003F" w:usb3="00000000" w:csb0="003F01FF" w:csb1="00000000"/>
  </w:font>
  <w:font w:name="Malgun Gothic Semilight">
    <w:panose1 w:val="020B0502040204020203"/>
    <w:charset w:val="86"/>
    <w:family w:val="auto"/>
    <w:pitch w:val="default"/>
    <w:sig w:usb0="900002AF" w:usb1="01D77CFB" w:usb2="00000012" w:usb3="00000000" w:csb0="203E01BD" w:csb1="D7FF0000"/>
  </w:font>
  <w:font w:name="ˎ̥">
    <w:altName w:val="微软雅黑"/>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经典标宋简">
    <w:altName w:val="宋体"/>
    <w:panose1 w:val="00000000000000000000"/>
    <w:charset w:val="86"/>
    <w:family w:val="auto"/>
    <w:pitch w:val="default"/>
    <w:sig w:usb0="00000000" w:usb1="00000000" w:usb2="0000001E" w:usb3="00000000" w:csb0="00040000" w:csb1="00000000"/>
  </w:font>
  <w:font w:name="经典等线简">
    <w:altName w:val="宋体"/>
    <w:panose1 w:val="00000000000000000000"/>
    <w:charset w:val="86"/>
    <w:family w:val="auto"/>
    <w:pitch w:val="default"/>
    <w:sig w:usb0="00000000" w:usb1="00000000" w:usb2="0000001E" w:usb3="00000000" w:csb0="00040000" w:csb1="00000000"/>
  </w:font>
  <w:font w:name="等线">
    <w:panose1 w:val="02010600030101010101"/>
    <w:charset w:val="86"/>
    <w:family w:val="auto"/>
    <w:pitch w:val="default"/>
    <w:sig w:usb0="A00002BF" w:usb1="38CF7CFA" w:usb2="00000016" w:usb3="00000000" w:csb0="0004000F"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4</w:t>
    </w:r>
    <w:r>
      <w:rPr>
        <w:rStyle w:val="54"/>
      </w:rPr>
      <w:fldChar w:fldCharType="end"/>
    </w:r>
  </w:p>
  <w:p>
    <w:pPr>
      <w:pStyle w:val="31"/>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00" w:lineRule="auto"/>
      <w:rPr>
        <w:rFonts w:eastAsiaTheme="minorEastAsia"/>
        <w:u w:val="single"/>
      </w:rPr>
    </w:pPr>
    <w:r>
      <w:rPr>
        <w:rFonts w:hint="eastAsia" w:asciiTheme="minorEastAsia" w:hAnsiTheme="minorEastAsia" w:eastAsiaTheme="minorEastAsia"/>
        <w:sz w:val="18"/>
        <w:szCs w:val="18"/>
        <w:u w:val="single"/>
      </w:rPr>
      <w:t>项目名称：龙岗区耳鼻咽喉医院信息系统软件建设维护服务项目                          项目编号：SZZZ2021-QC0380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7"/>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7"/>
      <w:lvlText w:val="%5)"/>
      <w:lvlJc w:val="left"/>
      <w:pPr>
        <w:tabs>
          <w:tab w:val="left" w:pos="2111"/>
        </w:tabs>
        <w:ind w:left="2111" w:hanging="420"/>
      </w:pPr>
    </w:lvl>
    <w:lvl w:ilvl="5" w:tentative="0">
      <w:start w:val="1"/>
      <w:numFmt w:val="lowerRoman"/>
      <w:pStyle w:val="9"/>
      <w:lvlText w:val="%6."/>
      <w:lvlJc w:val="right"/>
      <w:pPr>
        <w:tabs>
          <w:tab w:val="left" w:pos="2531"/>
        </w:tabs>
        <w:ind w:left="2531" w:hanging="420"/>
      </w:pPr>
    </w:lvl>
    <w:lvl w:ilvl="6" w:tentative="0">
      <w:start w:val="1"/>
      <w:numFmt w:val="decimal"/>
      <w:pStyle w:val="10"/>
      <w:lvlText w:val="%7."/>
      <w:lvlJc w:val="left"/>
      <w:pPr>
        <w:tabs>
          <w:tab w:val="left" w:pos="2951"/>
        </w:tabs>
        <w:ind w:left="2951" w:hanging="420"/>
      </w:pPr>
    </w:lvl>
    <w:lvl w:ilvl="7" w:tentative="0">
      <w:start w:val="1"/>
      <w:numFmt w:val="lowerLetter"/>
      <w:pStyle w:val="11"/>
      <w:lvlText w:val="%8)"/>
      <w:lvlJc w:val="left"/>
      <w:pPr>
        <w:tabs>
          <w:tab w:val="left" w:pos="3371"/>
        </w:tabs>
        <w:ind w:left="3371" w:hanging="420"/>
      </w:pPr>
    </w:lvl>
    <w:lvl w:ilvl="8" w:tentative="0">
      <w:start w:val="1"/>
      <w:numFmt w:val="lowerRoman"/>
      <w:pStyle w:val="12"/>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3"/>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C3082B2"/>
    <w:multiLevelType w:val="singleLevel"/>
    <w:tmpl w:val="3C3082B2"/>
    <w:lvl w:ilvl="0" w:tentative="0">
      <w:start w:val="2"/>
      <w:numFmt w:val="chineseCounting"/>
      <w:suff w:val="nothing"/>
      <w:lvlText w:val="（%1）"/>
      <w:lvlJc w:val="left"/>
      <w:rPr>
        <w:rFonts w:hint="eastAsia"/>
      </w:rPr>
    </w:lvl>
  </w:abstractNum>
  <w:abstractNum w:abstractNumId="4">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34D"/>
    <w:rsid w:val="00001F1C"/>
    <w:rsid w:val="000036D6"/>
    <w:rsid w:val="00003A46"/>
    <w:rsid w:val="000042A3"/>
    <w:rsid w:val="000045B3"/>
    <w:rsid w:val="00004906"/>
    <w:rsid w:val="00004AF7"/>
    <w:rsid w:val="00004FC4"/>
    <w:rsid w:val="00005751"/>
    <w:rsid w:val="00005C27"/>
    <w:rsid w:val="000060E5"/>
    <w:rsid w:val="0000670A"/>
    <w:rsid w:val="00006922"/>
    <w:rsid w:val="00006E2A"/>
    <w:rsid w:val="000074B0"/>
    <w:rsid w:val="000079C5"/>
    <w:rsid w:val="000103E3"/>
    <w:rsid w:val="00010B8D"/>
    <w:rsid w:val="00010DC3"/>
    <w:rsid w:val="00011A45"/>
    <w:rsid w:val="00011A56"/>
    <w:rsid w:val="00011AAF"/>
    <w:rsid w:val="00012A6E"/>
    <w:rsid w:val="00012BC4"/>
    <w:rsid w:val="00012F81"/>
    <w:rsid w:val="00014515"/>
    <w:rsid w:val="000145C2"/>
    <w:rsid w:val="00014625"/>
    <w:rsid w:val="00014DBB"/>
    <w:rsid w:val="00015940"/>
    <w:rsid w:val="00015AF5"/>
    <w:rsid w:val="00016458"/>
    <w:rsid w:val="000165EF"/>
    <w:rsid w:val="00016FC3"/>
    <w:rsid w:val="000208F8"/>
    <w:rsid w:val="00021304"/>
    <w:rsid w:val="0002197F"/>
    <w:rsid w:val="00022C27"/>
    <w:rsid w:val="00022F4F"/>
    <w:rsid w:val="00022FA9"/>
    <w:rsid w:val="00025B21"/>
    <w:rsid w:val="00025D5B"/>
    <w:rsid w:val="00026249"/>
    <w:rsid w:val="00027415"/>
    <w:rsid w:val="000274F7"/>
    <w:rsid w:val="00027757"/>
    <w:rsid w:val="000307C5"/>
    <w:rsid w:val="00030D77"/>
    <w:rsid w:val="00031887"/>
    <w:rsid w:val="000319D1"/>
    <w:rsid w:val="00034043"/>
    <w:rsid w:val="0003479B"/>
    <w:rsid w:val="00034900"/>
    <w:rsid w:val="0003493D"/>
    <w:rsid w:val="0003524E"/>
    <w:rsid w:val="000356F7"/>
    <w:rsid w:val="00035FE0"/>
    <w:rsid w:val="000367ED"/>
    <w:rsid w:val="0003688B"/>
    <w:rsid w:val="000372E9"/>
    <w:rsid w:val="00037359"/>
    <w:rsid w:val="0003762A"/>
    <w:rsid w:val="0003795A"/>
    <w:rsid w:val="00042758"/>
    <w:rsid w:val="00043D2B"/>
    <w:rsid w:val="000447F6"/>
    <w:rsid w:val="00045923"/>
    <w:rsid w:val="00045EB5"/>
    <w:rsid w:val="00046595"/>
    <w:rsid w:val="0004741F"/>
    <w:rsid w:val="00047612"/>
    <w:rsid w:val="00047852"/>
    <w:rsid w:val="00050F73"/>
    <w:rsid w:val="00051378"/>
    <w:rsid w:val="000529DE"/>
    <w:rsid w:val="00053074"/>
    <w:rsid w:val="00053F8F"/>
    <w:rsid w:val="000545F7"/>
    <w:rsid w:val="00054837"/>
    <w:rsid w:val="000550A3"/>
    <w:rsid w:val="0005526E"/>
    <w:rsid w:val="000558BB"/>
    <w:rsid w:val="000559C9"/>
    <w:rsid w:val="00055C5F"/>
    <w:rsid w:val="00056061"/>
    <w:rsid w:val="00056374"/>
    <w:rsid w:val="0005650D"/>
    <w:rsid w:val="00056617"/>
    <w:rsid w:val="00057655"/>
    <w:rsid w:val="00060526"/>
    <w:rsid w:val="00061C10"/>
    <w:rsid w:val="000621B0"/>
    <w:rsid w:val="00062570"/>
    <w:rsid w:val="0006264D"/>
    <w:rsid w:val="0006301D"/>
    <w:rsid w:val="00064787"/>
    <w:rsid w:val="00064A61"/>
    <w:rsid w:val="00065240"/>
    <w:rsid w:val="00066813"/>
    <w:rsid w:val="000668F4"/>
    <w:rsid w:val="0006745C"/>
    <w:rsid w:val="00067D3F"/>
    <w:rsid w:val="00067DC4"/>
    <w:rsid w:val="000700C5"/>
    <w:rsid w:val="00070384"/>
    <w:rsid w:val="00071507"/>
    <w:rsid w:val="0007211D"/>
    <w:rsid w:val="000730F3"/>
    <w:rsid w:val="00073A35"/>
    <w:rsid w:val="00073B23"/>
    <w:rsid w:val="00073EE2"/>
    <w:rsid w:val="00074554"/>
    <w:rsid w:val="00074BEF"/>
    <w:rsid w:val="00075AD5"/>
    <w:rsid w:val="00077E93"/>
    <w:rsid w:val="00080168"/>
    <w:rsid w:val="00080188"/>
    <w:rsid w:val="00080A90"/>
    <w:rsid w:val="00081B06"/>
    <w:rsid w:val="000820E6"/>
    <w:rsid w:val="000825F6"/>
    <w:rsid w:val="00082956"/>
    <w:rsid w:val="00082ABE"/>
    <w:rsid w:val="00083D3F"/>
    <w:rsid w:val="00083E84"/>
    <w:rsid w:val="00085134"/>
    <w:rsid w:val="000851F8"/>
    <w:rsid w:val="00085317"/>
    <w:rsid w:val="00085419"/>
    <w:rsid w:val="000855C1"/>
    <w:rsid w:val="00085908"/>
    <w:rsid w:val="0008596C"/>
    <w:rsid w:val="00085DE9"/>
    <w:rsid w:val="00085FFE"/>
    <w:rsid w:val="000866A3"/>
    <w:rsid w:val="000867FB"/>
    <w:rsid w:val="00086F62"/>
    <w:rsid w:val="000878FF"/>
    <w:rsid w:val="0009127F"/>
    <w:rsid w:val="0009133A"/>
    <w:rsid w:val="0009145A"/>
    <w:rsid w:val="00091526"/>
    <w:rsid w:val="0009187B"/>
    <w:rsid w:val="00091CAC"/>
    <w:rsid w:val="00092BD5"/>
    <w:rsid w:val="00095198"/>
    <w:rsid w:val="00095806"/>
    <w:rsid w:val="00095F61"/>
    <w:rsid w:val="00096CE6"/>
    <w:rsid w:val="00097B04"/>
    <w:rsid w:val="000A0ABE"/>
    <w:rsid w:val="000A0DC0"/>
    <w:rsid w:val="000A1075"/>
    <w:rsid w:val="000A24AF"/>
    <w:rsid w:val="000A274D"/>
    <w:rsid w:val="000A2C52"/>
    <w:rsid w:val="000A2D79"/>
    <w:rsid w:val="000A3358"/>
    <w:rsid w:val="000A4B0E"/>
    <w:rsid w:val="000A530C"/>
    <w:rsid w:val="000A584E"/>
    <w:rsid w:val="000A58B9"/>
    <w:rsid w:val="000A5A8E"/>
    <w:rsid w:val="000A5CD4"/>
    <w:rsid w:val="000A6263"/>
    <w:rsid w:val="000A6F16"/>
    <w:rsid w:val="000A7A6C"/>
    <w:rsid w:val="000A7C5A"/>
    <w:rsid w:val="000B0205"/>
    <w:rsid w:val="000B0817"/>
    <w:rsid w:val="000B10D9"/>
    <w:rsid w:val="000B1ED2"/>
    <w:rsid w:val="000B20FC"/>
    <w:rsid w:val="000B3202"/>
    <w:rsid w:val="000B493E"/>
    <w:rsid w:val="000B4F60"/>
    <w:rsid w:val="000B5CC8"/>
    <w:rsid w:val="000B5DFC"/>
    <w:rsid w:val="000B61BF"/>
    <w:rsid w:val="000B620E"/>
    <w:rsid w:val="000B67E1"/>
    <w:rsid w:val="000C1B95"/>
    <w:rsid w:val="000C299D"/>
    <w:rsid w:val="000C2C45"/>
    <w:rsid w:val="000C3573"/>
    <w:rsid w:val="000C3B21"/>
    <w:rsid w:val="000C428C"/>
    <w:rsid w:val="000C4328"/>
    <w:rsid w:val="000C43F5"/>
    <w:rsid w:val="000C48DA"/>
    <w:rsid w:val="000C605A"/>
    <w:rsid w:val="000C63AE"/>
    <w:rsid w:val="000C712D"/>
    <w:rsid w:val="000C7685"/>
    <w:rsid w:val="000D0769"/>
    <w:rsid w:val="000D0C86"/>
    <w:rsid w:val="000D0C91"/>
    <w:rsid w:val="000D1EAF"/>
    <w:rsid w:val="000D25E3"/>
    <w:rsid w:val="000D2C8E"/>
    <w:rsid w:val="000D2CA8"/>
    <w:rsid w:val="000D3909"/>
    <w:rsid w:val="000D39D7"/>
    <w:rsid w:val="000D3DAF"/>
    <w:rsid w:val="000D48D5"/>
    <w:rsid w:val="000D6088"/>
    <w:rsid w:val="000D6CFF"/>
    <w:rsid w:val="000D6D74"/>
    <w:rsid w:val="000D6F21"/>
    <w:rsid w:val="000D75EC"/>
    <w:rsid w:val="000D7803"/>
    <w:rsid w:val="000D7D8E"/>
    <w:rsid w:val="000D7DC6"/>
    <w:rsid w:val="000E024C"/>
    <w:rsid w:val="000E18B0"/>
    <w:rsid w:val="000E1BD5"/>
    <w:rsid w:val="000E214A"/>
    <w:rsid w:val="000E21D9"/>
    <w:rsid w:val="000E2823"/>
    <w:rsid w:val="000E3219"/>
    <w:rsid w:val="000E321B"/>
    <w:rsid w:val="000E3D76"/>
    <w:rsid w:val="000E4186"/>
    <w:rsid w:val="000E52FA"/>
    <w:rsid w:val="000E6437"/>
    <w:rsid w:val="000E6981"/>
    <w:rsid w:val="000F06E7"/>
    <w:rsid w:val="000F0B03"/>
    <w:rsid w:val="000F0BDA"/>
    <w:rsid w:val="000F0D6F"/>
    <w:rsid w:val="000F150F"/>
    <w:rsid w:val="000F1EDD"/>
    <w:rsid w:val="000F243B"/>
    <w:rsid w:val="000F2547"/>
    <w:rsid w:val="000F3580"/>
    <w:rsid w:val="000F3B7A"/>
    <w:rsid w:val="000F3F04"/>
    <w:rsid w:val="000F420E"/>
    <w:rsid w:val="000F454C"/>
    <w:rsid w:val="000F4C69"/>
    <w:rsid w:val="000F4EE2"/>
    <w:rsid w:val="000F4FF0"/>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130"/>
    <w:rsid w:val="001048BE"/>
    <w:rsid w:val="0010529C"/>
    <w:rsid w:val="001072EB"/>
    <w:rsid w:val="001075C1"/>
    <w:rsid w:val="00107924"/>
    <w:rsid w:val="001079CD"/>
    <w:rsid w:val="0011014B"/>
    <w:rsid w:val="00110426"/>
    <w:rsid w:val="00111274"/>
    <w:rsid w:val="001117B9"/>
    <w:rsid w:val="00112F5B"/>
    <w:rsid w:val="0011317D"/>
    <w:rsid w:val="001134EF"/>
    <w:rsid w:val="00114386"/>
    <w:rsid w:val="001148BD"/>
    <w:rsid w:val="00114ECC"/>
    <w:rsid w:val="001151A9"/>
    <w:rsid w:val="00115CCC"/>
    <w:rsid w:val="00115E6A"/>
    <w:rsid w:val="0012030F"/>
    <w:rsid w:val="00120AB4"/>
    <w:rsid w:val="00120BE1"/>
    <w:rsid w:val="0012174B"/>
    <w:rsid w:val="00121A55"/>
    <w:rsid w:val="00121C20"/>
    <w:rsid w:val="00121DE5"/>
    <w:rsid w:val="00123367"/>
    <w:rsid w:val="00123AC2"/>
    <w:rsid w:val="00123EA6"/>
    <w:rsid w:val="00123F89"/>
    <w:rsid w:val="00124206"/>
    <w:rsid w:val="0012537B"/>
    <w:rsid w:val="0012558C"/>
    <w:rsid w:val="0012714F"/>
    <w:rsid w:val="00127915"/>
    <w:rsid w:val="00130693"/>
    <w:rsid w:val="00130801"/>
    <w:rsid w:val="00130A8C"/>
    <w:rsid w:val="001310AA"/>
    <w:rsid w:val="00132670"/>
    <w:rsid w:val="001328E9"/>
    <w:rsid w:val="00133E88"/>
    <w:rsid w:val="0013411A"/>
    <w:rsid w:val="001349F3"/>
    <w:rsid w:val="00136615"/>
    <w:rsid w:val="00136BA5"/>
    <w:rsid w:val="00137077"/>
    <w:rsid w:val="00137241"/>
    <w:rsid w:val="00137B1E"/>
    <w:rsid w:val="00137BBA"/>
    <w:rsid w:val="001403D0"/>
    <w:rsid w:val="00141229"/>
    <w:rsid w:val="00141E96"/>
    <w:rsid w:val="00142681"/>
    <w:rsid w:val="00142BD9"/>
    <w:rsid w:val="00143392"/>
    <w:rsid w:val="001438E5"/>
    <w:rsid w:val="00143AB1"/>
    <w:rsid w:val="00143D73"/>
    <w:rsid w:val="001448C4"/>
    <w:rsid w:val="0014619B"/>
    <w:rsid w:val="001467AB"/>
    <w:rsid w:val="001468DA"/>
    <w:rsid w:val="00146AE2"/>
    <w:rsid w:val="00146D8F"/>
    <w:rsid w:val="00146E88"/>
    <w:rsid w:val="00147B19"/>
    <w:rsid w:val="00150618"/>
    <w:rsid w:val="00150E64"/>
    <w:rsid w:val="00151766"/>
    <w:rsid w:val="0015247A"/>
    <w:rsid w:val="00152F39"/>
    <w:rsid w:val="00153226"/>
    <w:rsid w:val="00153918"/>
    <w:rsid w:val="001547E1"/>
    <w:rsid w:val="00154F74"/>
    <w:rsid w:val="00156E27"/>
    <w:rsid w:val="001570A5"/>
    <w:rsid w:val="001571E8"/>
    <w:rsid w:val="0015749F"/>
    <w:rsid w:val="00160375"/>
    <w:rsid w:val="00160D4E"/>
    <w:rsid w:val="00160F50"/>
    <w:rsid w:val="00161522"/>
    <w:rsid w:val="001617AE"/>
    <w:rsid w:val="00161B0C"/>
    <w:rsid w:val="00161BD0"/>
    <w:rsid w:val="00161E4F"/>
    <w:rsid w:val="0016263C"/>
    <w:rsid w:val="00162AE8"/>
    <w:rsid w:val="00162C56"/>
    <w:rsid w:val="00162DB2"/>
    <w:rsid w:val="00164924"/>
    <w:rsid w:val="00164A55"/>
    <w:rsid w:val="001657B1"/>
    <w:rsid w:val="00165B02"/>
    <w:rsid w:val="00166DCC"/>
    <w:rsid w:val="00167789"/>
    <w:rsid w:val="00167927"/>
    <w:rsid w:val="0017073E"/>
    <w:rsid w:val="00170C17"/>
    <w:rsid w:val="0017173E"/>
    <w:rsid w:val="00171CA3"/>
    <w:rsid w:val="00171E66"/>
    <w:rsid w:val="001722D8"/>
    <w:rsid w:val="00172A27"/>
    <w:rsid w:val="00172AE3"/>
    <w:rsid w:val="00172C34"/>
    <w:rsid w:val="00173149"/>
    <w:rsid w:val="00173759"/>
    <w:rsid w:val="001739A3"/>
    <w:rsid w:val="00173D26"/>
    <w:rsid w:val="001755E9"/>
    <w:rsid w:val="00175A5E"/>
    <w:rsid w:val="00176553"/>
    <w:rsid w:val="00177212"/>
    <w:rsid w:val="001774D4"/>
    <w:rsid w:val="00177549"/>
    <w:rsid w:val="00177744"/>
    <w:rsid w:val="001778BE"/>
    <w:rsid w:val="00177F89"/>
    <w:rsid w:val="00180B0D"/>
    <w:rsid w:val="00181FEA"/>
    <w:rsid w:val="00182706"/>
    <w:rsid w:val="0018284B"/>
    <w:rsid w:val="00183836"/>
    <w:rsid w:val="001845E9"/>
    <w:rsid w:val="00184630"/>
    <w:rsid w:val="001846D7"/>
    <w:rsid w:val="00184815"/>
    <w:rsid w:val="001850A4"/>
    <w:rsid w:val="001864FF"/>
    <w:rsid w:val="00187B3E"/>
    <w:rsid w:val="0019153B"/>
    <w:rsid w:val="001915A3"/>
    <w:rsid w:val="001918F3"/>
    <w:rsid w:val="001919EB"/>
    <w:rsid w:val="00191B94"/>
    <w:rsid w:val="0019227B"/>
    <w:rsid w:val="00192D08"/>
    <w:rsid w:val="0019368B"/>
    <w:rsid w:val="001938D2"/>
    <w:rsid w:val="001941C8"/>
    <w:rsid w:val="00195B8B"/>
    <w:rsid w:val="00195DCB"/>
    <w:rsid w:val="00195F14"/>
    <w:rsid w:val="001961A2"/>
    <w:rsid w:val="00196787"/>
    <w:rsid w:val="00196B4C"/>
    <w:rsid w:val="001970AD"/>
    <w:rsid w:val="00197204"/>
    <w:rsid w:val="001A173C"/>
    <w:rsid w:val="001A1844"/>
    <w:rsid w:val="001A1998"/>
    <w:rsid w:val="001A1BE9"/>
    <w:rsid w:val="001A20CA"/>
    <w:rsid w:val="001A2B9F"/>
    <w:rsid w:val="001A3B13"/>
    <w:rsid w:val="001A3CF6"/>
    <w:rsid w:val="001A3EE7"/>
    <w:rsid w:val="001A4420"/>
    <w:rsid w:val="001A46F2"/>
    <w:rsid w:val="001A68EC"/>
    <w:rsid w:val="001A6C49"/>
    <w:rsid w:val="001A7C91"/>
    <w:rsid w:val="001B0220"/>
    <w:rsid w:val="001B0850"/>
    <w:rsid w:val="001B1281"/>
    <w:rsid w:val="001B1D39"/>
    <w:rsid w:val="001B2126"/>
    <w:rsid w:val="001B23F5"/>
    <w:rsid w:val="001B2666"/>
    <w:rsid w:val="001B2A31"/>
    <w:rsid w:val="001B2D49"/>
    <w:rsid w:val="001B5B42"/>
    <w:rsid w:val="001B606A"/>
    <w:rsid w:val="001B6DDB"/>
    <w:rsid w:val="001B7078"/>
    <w:rsid w:val="001B7491"/>
    <w:rsid w:val="001B75CF"/>
    <w:rsid w:val="001B7A8D"/>
    <w:rsid w:val="001B7EBE"/>
    <w:rsid w:val="001C06C0"/>
    <w:rsid w:val="001C10E5"/>
    <w:rsid w:val="001C1A12"/>
    <w:rsid w:val="001C1D46"/>
    <w:rsid w:val="001C1F6C"/>
    <w:rsid w:val="001C21BB"/>
    <w:rsid w:val="001C240D"/>
    <w:rsid w:val="001C3000"/>
    <w:rsid w:val="001C30D1"/>
    <w:rsid w:val="001C33D6"/>
    <w:rsid w:val="001C35B7"/>
    <w:rsid w:val="001C36F7"/>
    <w:rsid w:val="001C3AE0"/>
    <w:rsid w:val="001C3BAD"/>
    <w:rsid w:val="001C5F9A"/>
    <w:rsid w:val="001C7E49"/>
    <w:rsid w:val="001D012D"/>
    <w:rsid w:val="001D0702"/>
    <w:rsid w:val="001D0A25"/>
    <w:rsid w:val="001D1078"/>
    <w:rsid w:val="001D1659"/>
    <w:rsid w:val="001D296C"/>
    <w:rsid w:val="001D2F3D"/>
    <w:rsid w:val="001D33C3"/>
    <w:rsid w:val="001D3DED"/>
    <w:rsid w:val="001D3DF8"/>
    <w:rsid w:val="001D3F8A"/>
    <w:rsid w:val="001D4E6F"/>
    <w:rsid w:val="001D5573"/>
    <w:rsid w:val="001D56C8"/>
    <w:rsid w:val="001D5E80"/>
    <w:rsid w:val="001D6356"/>
    <w:rsid w:val="001D6EC3"/>
    <w:rsid w:val="001D710C"/>
    <w:rsid w:val="001E0886"/>
    <w:rsid w:val="001E11B1"/>
    <w:rsid w:val="001E208F"/>
    <w:rsid w:val="001E233C"/>
    <w:rsid w:val="001E4950"/>
    <w:rsid w:val="001E5014"/>
    <w:rsid w:val="001E630A"/>
    <w:rsid w:val="001E7838"/>
    <w:rsid w:val="001E7A22"/>
    <w:rsid w:val="001E7D19"/>
    <w:rsid w:val="001F0CFA"/>
    <w:rsid w:val="001F1464"/>
    <w:rsid w:val="001F1905"/>
    <w:rsid w:val="001F1EAE"/>
    <w:rsid w:val="001F1F7F"/>
    <w:rsid w:val="001F2C63"/>
    <w:rsid w:val="001F2E14"/>
    <w:rsid w:val="001F37E0"/>
    <w:rsid w:val="001F3A0C"/>
    <w:rsid w:val="001F3E7F"/>
    <w:rsid w:val="001F401A"/>
    <w:rsid w:val="001F4A76"/>
    <w:rsid w:val="001F4F4A"/>
    <w:rsid w:val="001F534F"/>
    <w:rsid w:val="001F543D"/>
    <w:rsid w:val="001F56BD"/>
    <w:rsid w:val="001F5813"/>
    <w:rsid w:val="001F5989"/>
    <w:rsid w:val="001F64C1"/>
    <w:rsid w:val="002001F1"/>
    <w:rsid w:val="00201348"/>
    <w:rsid w:val="00201A4E"/>
    <w:rsid w:val="00201C8A"/>
    <w:rsid w:val="00202525"/>
    <w:rsid w:val="00202B43"/>
    <w:rsid w:val="002035A2"/>
    <w:rsid w:val="00203887"/>
    <w:rsid w:val="002046D6"/>
    <w:rsid w:val="00204D09"/>
    <w:rsid w:val="00204F5C"/>
    <w:rsid w:val="00205C71"/>
    <w:rsid w:val="002070C1"/>
    <w:rsid w:val="0020717B"/>
    <w:rsid w:val="00207262"/>
    <w:rsid w:val="00207468"/>
    <w:rsid w:val="00207844"/>
    <w:rsid w:val="00210436"/>
    <w:rsid w:val="0021043B"/>
    <w:rsid w:val="00210440"/>
    <w:rsid w:val="0021054E"/>
    <w:rsid w:val="0021095C"/>
    <w:rsid w:val="002109AA"/>
    <w:rsid w:val="00210AC5"/>
    <w:rsid w:val="00210E7E"/>
    <w:rsid w:val="00211084"/>
    <w:rsid w:val="00211254"/>
    <w:rsid w:val="002122AD"/>
    <w:rsid w:val="0021299B"/>
    <w:rsid w:val="002139CD"/>
    <w:rsid w:val="00213E88"/>
    <w:rsid w:val="00214C22"/>
    <w:rsid w:val="00214C4A"/>
    <w:rsid w:val="00214FDD"/>
    <w:rsid w:val="0021647A"/>
    <w:rsid w:val="00217057"/>
    <w:rsid w:val="002170FD"/>
    <w:rsid w:val="0021781A"/>
    <w:rsid w:val="00217A9E"/>
    <w:rsid w:val="002201AC"/>
    <w:rsid w:val="0022067E"/>
    <w:rsid w:val="00221029"/>
    <w:rsid w:val="0022131F"/>
    <w:rsid w:val="002213C6"/>
    <w:rsid w:val="002216BD"/>
    <w:rsid w:val="00221E89"/>
    <w:rsid w:val="00221FE8"/>
    <w:rsid w:val="00222F08"/>
    <w:rsid w:val="00223045"/>
    <w:rsid w:val="002237FD"/>
    <w:rsid w:val="0022383D"/>
    <w:rsid w:val="00223DBF"/>
    <w:rsid w:val="0022435D"/>
    <w:rsid w:val="0022442C"/>
    <w:rsid w:val="002245B1"/>
    <w:rsid w:val="00224A1D"/>
    <w:rsid w:val="00225340"/>
    <w:rsid w:val="002259D7"/>
    <w:rsid w:val="002269FF"/>
    <w:rsid w:val="002274F2"/>
    <w:rsid w:val="00227BE4"/>
    <w:rsid w:val="002303B3"/>
    <w:rsid w:val="00230D0C"/>
    <w:rsid w:val="00230EA4"/>
    <w:rsid w:val="0023207C"/>
    <w:rsid w:val="0023316C"/>
    <w:rsid w:val="00233EA8"/>
    <w:rsid w:val="00233EE9"/>
    <w:rsid w:val="00235237"/>
    <w:rsid w:val="00235CCD"/>
    <w:rsid w:val="0023602F"/>
    <w:rsid w:val="00236048"/>
    <w:rsid w:val="002362ED"/>
    <w:rsid w:val="00237036"/>
    <w:rsid w:val="002372AC"/>
    <w:rsid w:val="00237A33"/>
    <w:rsid w:val="00237F7F"/>
    <w:rsid w:val="002402E8"/>
    <w:rsid w:val="00240B0F"/>
    <w:rsid w:val="00240E54"/>
    <w:rsid w:val="00241314"/>
    <w:rsid w:val="00241BD9"/>
    <w:rsid w:val="00242B67"/>
    <w:rsid w:val="00243381"/>
    <w:rsid w:val="00243756"/>
    <w:rsid w:val="00243EFD"/>
    <w:rsid w:val="002442A5"/>
    <w:rsid w:val="00244AF3"/>
    <w:rsid w:val="00244EFB"/>
    <w:rsid w:val="00245008"/>
    <w:rsid w:val="002451ED"/>
    <w:rsid w:val="002458E4"/>
    <w:rsid w:val="00245DD8"/>
    <w:rsid w:val="002506EE"/>
    <w:rsid w:val="00250E42"/>
    <w:rsid w:val="00250E89"/>
    <w:rsid w:val="00252912"/>
    <w:rsid w:val="00252D49"/>
    <w:rsid w:val="00253956"/>
    <w:rsid w:val="00253C51"/>
    <w:rsid w:val="002548D3"/>
    <w:rsid w:val="00254E85"/>
    <w:rsid w:val="0025568B"/>
    <w:rsid w:val="002561B7"/>
    <w:rsid w:val="00256EDB"/>
    <w:rsid w:val="00257131"/>
    <w:rsid w:val="0025733E"/>
    <w:rsid w:val="00257F6B"/>
    <w:rsid w:val="00261B4C"/>
    <w:rsid w:val="00261C50"/>
    <w:rsid w:val="00261C71"/>
    <w:rsid w:val="00261E06"/>
    <w:rsid w:val="0026249A"/>
    <w:rsid w:val="002625B4"/>
    <w:rsid w:val="00263090"/>
    <w:rsid w:val="00263146"/>
    <w:rsid w:val="00264D98"/>
    <w:rsid w:val="00265054"/>
    <w:rsid w:val="0026523F"/>
    <w:rsid w:val="0026696D"/>
    <w:rsid w:val="00266BE6"/>
    <w:rsid w:val="00267127"/>
    <w:rsid w:val="00267325"/>
    <w:rsid w:val="00267935"/>
    <w:rsid w:val="00270B8F"/>
    <w:rsid w:val="0027165D"/>
    <w:rsid w:val="00271B39"/>
    <w:rsid w:val="00271C92"/>
    <w:rsid w:val="0027280E"/>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242D"/>
    <w:rsid w:val="00282D45"/>
    <w:rsid w:val="00283253"/>
    <w:rsid w:val="002836C6"/>
    <w:rsid w:val="0028615B"/>
    <w:rsid w:val="00286DFC"/>
    <w:rsid w:val="00287102"/>
    <w:rsid w:val="00290002"/>
    <w:rsid w:val="0029069C"/>
    <w:rsid w:val="0029244F"/>
    <w:rsid w:val="00293B82"/>
    <w:rsid w:val="00293DA4"/>
    <w:rsid w:val="002965D8"/>
    <w:rsid w:val="00297C24"/>
    <w:rsid w:val="002A0381"/>
    <w:rsid w:val="002A0425"/>
    <w:rsid w:val="002A0651"/>
    <w:rsid w:val="002A06BD"/>
    <w:rsid w:val="002A11FB"/>
    <w:rsid w:val="002A120C"/>
    <w:rsid w:val="002A1715"/>
    <w:rsid w:val="002A1996"/>
    <w:rsid w:val="002A1F00"/>
    <w:rsid w:val="002A1F34"/>
    <w:rsid w:val="002A2185"/>
    <w:rsid w:val="002A21D9"/>
    <w:rsid w:val="002A334F"/>
    <w:rsid w:val="002A3C88"/>
    <w:rsid w:val="002A41C2"/>
    <w:rsid w:val="002A4C00"/>
    <w:rsid w:val="002A50DC"/>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A7F8A"/>
    <w:rsid w:val="002B011D"/>
    <w:rsid w:val="002B021E"/>
    <w:rsid w:val="002B08F6"/>
    <w:rsid w:val="002B2E09"/>
    <w:rsid w:val="002B366D"/>
    <w:rsid w:val="002B3938"/>
    <w:rsid w:val="002B3C7C"/>
    <w:rsid w:val="002B4B5E"/>
    <w:rsid w:val="002B4F70"/>
    <w:rsid w:val="002B51D5"/>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EEF"/>
    <w:rsid w:val="002C6527"/>
    <w:rsid w:val="002D0724"/>
    <w:rsid w:val="002D13DF"/>
    <w:rsid w:val="002D3B6B"/>
    <w:rsid w:val="002D41A4"/>
    <w:rsid w:val="002D603D"/>
    <w:rsid w:val="002E00AD"/>
    <w:rsid w:val="002E032F"/>
    <w:rsid w:val="002E075F"/>
    <w:rsid w:val="002E08C1"/>
    <w:rsid w:val="002E0B56"/>
    <w:rsid w:val="002E0B5D"/>
    <w:rsid w:val="002E1192"/>
    <w:rsid w:val="002E1650"/>
    <w:rsid w:val="002E1DA6"/>
    <w:rsid w:val="002E214F"/>
    <w:rsid w:val="002E24BD"/>
    <w:rsid w:val="002E3C98"/>
    <w:rsid w:val="002E4681"/>
    <w:rsid w:val="002E4D51"/>
    <w:rsid w:val="002E5619"/>
    <w:rsid w:val="002E57C9"/>
    <w:rsid w:val="002E6371"/>
    <w:rsid w:val="002E6A58"/>
    <w:rsid w:val="002E6D98"/>
    <w:rsid w:val="002E7881"/>
    <w:rsid w:val="002E7975"/>
    <w:rsid w:val="002E7A31"/>
    <w:rsid w:val="002F01F2"/>
    <w:rsid w:val="002F11D5"/>
    <w:rsid w:val="002F21EF"/>
    <w:rsid w:val="002F2B63"/>
    <w:rsid w:val="002F3765"/>
    <w:rsid w:val="002F3F28"/>
    <w:rsid w:val="002F3FE1"/>
    <w:rsid w:val="002F44A0"/>
    <w:rsid w:val="002F471C"/>
    <w:rsid w:val="002F4F44"/>
    <w:rsid w:val="002F50DA"/>
    <w:rsid w:val="002F56B1"/>
    <w:rsid w:val="002F584B"/>
    <w:rsid w:val="002F5EEE"/>
    <w:rsid w:val="002F5FC3"/>
    <w:rsid w:val="002F6EF2"/>
    <w:rsid w:val="002F7270"/>
    <w:rsid w:val="002F79E2"/>
    <w:rsid w:val="002F7D39"/>
    <w:rsid w:val="002F7E8D"/>
    <w:rsid w:val="003022E5"/>
    <w:rsid w:val="00302461"/>
    <w:rsid w:val="00302899"/>
    <w:rsid w:val="00302A04"/>
    <w:rsid w:val="003033D9"/>
    <w:rsid w:val="00303C85"/>
    <w:rsid w:val="00303F98"/>
    <w:rsid w:val="00304338"/>
    <w:rsid w:val="003044F5"/>
    <w:rsid w:val="003051C9"/>
    <w:rsid w:val="00305C1F"/>
    <w:rsid w:val="00305D1D"/>
    <w:rsid w:val="00306B5E"/>
    <w:rsid w:val="0030700E"/>
    <w:rsid w:val="00307766"/>
    <w:rsid w:val="00307A2D"/>
    <w:rsid w:val="00310D4B"/>
    <w:rsid w:val="00311161"/>
    <w:rsid w:val="003122A3"/>
    <w:rsid w:val="003132C3"/>
    <w:rsid w:val="00313A3B"/>
    <w:rsid w:val="00313BCE"/>
    <w:rsid w:val="00313E20"/>
    <w:rsid w:val="00314F5B"/>
    <w:rsid w:val="00315243"/>
    <w:rsid w:val="00315A94"/>
    <w:rsid w:val="00315CB5"/>
    <w:rsid w:val="003164FD"/>
    <w:rsid w:val="00317240"/>
    <w:rsid w:val="0031737C"/>
    <w:rsid w:val="00320073"/>
    <w:rsid w:val="003201A8"/>
    <w:rsid w:val="003203BF"/>
    <w:rsid w:val="00320626"/>
    <w:rsid w:val="00320DE9"/>
    <w:rsid w:val="00321435"/>
    <w:rsid w:val="003214C3"/>
    <w:rsid w:val="003214D6"/>
    <w:rsid w:val="003219DD"/>
    <w:rsid w:val="00321CC1"/>
    <w:rsid w:val="0032244E"/>
    <w:rsid w:val="00323373"/>
    <w:rsid w:val="003242E5"/>
    <w:rsid w:val="00324CB5"/>
    <w:rsid w:val="00324DD8"/>
    <w:rsid w:val="003256E0"/>
    <w:rsid w:val="00325CA9"/>
    <w:rsid w:val="00325E6C"/>
    <w:rsid w:val="00326A13"/>
    <w:rsid w:val="00327114"/>
    <w:rsid w:val="00327B3E"/>
    <w:rsid w:val="00327EA3"/>
    <w:rsid w:val="00332227"/>
    <w:rsid w:val="00332486"/>
    <w:rsid w:val="0033321A"/>
    <w:rsid w:val="00333612"/>
    <w:rsid w:val="00333676"/>
    <w:rsid w:val="003336FD"/>
    <w:rsid w:val="00333A02"/>
    <w:rsid w:val="00333D3B"/>
    <w:rsid w:val="00333E4C"/>
    <w:rsid w:val="00334224"/>
    <w:rsid w:val="0033425B"/>
    <w:rsid w:val="003342F6"/>
    <w:rsid w:val="00334680"/>
    <w:rsid w:val="003350A3"/>
    <w:rsid w:val="0033586C"/>
    <w:rsid w:val="00335EFB"/>
    <w:rsid w:val="003364B8"/>
    <w:rsid w:val="003364EB"/>
    <w:rsid w:val="003374CB"/>
    <w:rsid w:val="00337D7C"/>
    <w:rsid w:val="00340445"/>
    <w:rsid w:val="00342A4E"/>
    <w:rsid w:val="00342BAE"/>
    <w:rsid w:val="003431F0"/>
    <w:rsid w:val="00343ACE"/>
    <w:rsid w:val="00344388"/>
    <w:rsid w:val="00345AD6"/>
    <w:rsid w:val="00345E2A"/>
    <w:rsid w:val="00345F25"/>
    <w:rsid w:val="00346772"/>
    <w:rsid w:val="00346E05"/>
    <w:rsid w:val="00351F42"/>
    <w:rsid w:val="00352BC1"/>
    <w:rsid w:val="00352F19"/>
    <w:rsid w:val="003536EE"/>
    <w:rsid w:val="00353939"/>
    <w:rsid w:val="00354FA4"/>
    <w:rsid w:val="00355855"/>
    <w:rsid w:val="00356902"/>
    <w:rsid w:val="003571E8"/>
    <w:rsid w:val="00357CBA"/>
    <w:rsid w:val="003602AF"/>
    <w:rsid w:val="003619E8"/>
    <w:rsid w:val="00361FC9"/>
    <w:rsid w:val="00363CCB"/>
    <w:rsid w:val="003640EA"/>
    <w:rsid w:val="003642A2"/>
    <w:rsid w:val="003646C5"/>
    <w:rsid w:val="00365006"/>
    <w:rsid w:val="00365258"/>
    <w:rsid w:val="00365ABF"/>
    <w:rsid w:val="00366FA8"/>
    <w:rsid w:val="003675A2"/>
    <w:rsid w:val="0037017C"/>
    <w:rsid w:val="003703D0"/>
    <w:rsid w:val="003706B3"/>
    <w:rsid w:val="003709F9"/>
    <w:rsid w:val="003721BE"/>
    <w:rsid w:val="00372522"/>
    <w:rsid w:val="003728C9"/>
    <w:rsid w:val="00373353"/>
    <w:rsid w:val="00373923"/>
    <w:rsid w:val="003744B5"/>
    <w:rsid w:val="003745F2"/>
    <w:rsid w:val="00374BA5"/>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43EC"/>
    <w:rsid w:val="003847A5"/>
    <w:rsid w:val="00385229"/>
    <w:rsid w:val="003853E7"/>
    <w:rsid w:val="00385433"/>
    <w:rsid w:val="00387884"/>
    <w:rsid w:val="00387F66"/>
    <w:rsid w:val="0039022F"/>
    <w:rsid w:val="0039048F"/>
    <w:rsid w:val="003909DB"/>
    <w:rsid w:val="00391069"/>
    <w:rsid w:val="00391591"/>
    <w:rsid w:val="00392999"/>
    <w:rsid w:val="00392B88"/>
    <w:rsid w:val="00392CF1"/>
    <w:rsid w:val="00393028"/>
    <w:rsid w:val="0039313E"/>
    <w:rsid w:val="003934F9"/>
    <w:rsid w:val="00393AB1"/>
    <w:rsid w:val="00394848"/>
    <w:rsid w:val="00394A73"/>
    <w:rsid w:val="00394CBF"/>
    <w:rsid w:val="00394D1B"/>
    <w:rsid w:val="00394EA1"/>
    <w:rsid w:val="00395AE1"/>
    <w:rsid w:val="003960EC"/>
    <w:rsid w:val="00396A2D"/>
    <w:rsid w:val="0039729C"/>
    <w:rsid w:val="00397BFA"/>
    <w:rsid w:val="003A03CE"/>
    <w:rsid w:val="003A0BE4"/>
    <w:rsid w:val="003A1771"/>
    <w:rsid w:val="003A1D06"/>
    <w:rsid w:val="003A1F30"/>
    <w:rsid w:val="003A236B"/>
    <w:rsid w:val="003A268D"/>
    <w:rsid w:val="003A2908"/>
    <w:rsid w:val="003A3C39"/>
    <w:rsid w:val="003A3CAC"/>
    <w:rsid w:val="003A4065"/>
    <w:rsid w:val="003A407A"/>
    <w:rsid w:val="003A44F3"/>
    <w:rsid w:val="003A505C"/>
    <w:rsid w:val="003A574F"/>
    <w:rsid w:val="003A58D0"/>
    <w:rsid w:val="003A6FDB"/>
    <w:rsid w:val="003B016F"/>
    <w:rsid w:val="003B01FA"/>
    <w:rsid w:val="003B0A1B"/>
    <w:rsid w:val="003B1B85"/>
    <w:rsid w:val="003B2926"/>
    <w:rsid w:val="003B3713"/>
    <w:rsid w:val="003B3AA5"/>
    <w:rsid w:val="003B445F"/>
    <w:rsid w:val="003B4982"/>
    <w:rsid w:val="003B4B46"/>
    <w:rsid w:val="003B5C4E"/>
    <w:rsid w:val="003B65AB"/>
    <w:rsid w:val="003B6CFD"/>
    <w:rsid w:val="003B7115"/>
    <w:rsid w:val="003B7B4E"/>
    <w:rsid w:val="003C121F"/>
    <w:rsid w:val="003C1F0B"/>
    <w:rsid w:val="003C2E11"/>
    <w:rsid w:val="003C3323"/>
    <w:rsid w:val="003C3359"/>
    <w:rsid w:val="003C3B63"/>
    <w:rsid w:val="003C3E94"/>
    <w:rsid w:val="003C44A5"/>
    <w:rsid w:val="003C4544"/>
    <w:rsid w:val="003C488F"/>
    <w:rsid w:val="003C4DA4"/>
    <w:rsid w:val="003C4E2E"/>
    <w:rsid w:val="003C5286"/>
    <w:rsid w:val="003C542A"/>
    <w:rsid w:val="003C5B59"/>
    <w:rsid w:val="003C63D8"/>
    <w:rsid w:val="003D06D4"/>
    <w:rsid w:val="003D16D0"/>
    <w:rsid w:val="003D27FB"/>
    <w:rsid w:val="003D3FDB"/>
    <w:rsid w:val="003D482D"/>
    <w:rsid w:val="003D53DC"/>
    <w:rsid w:val="003D589A"/>
    <w:rsid w:val="003D5A2F"/>
    <w:rsid w:val="003D6826"/>
    <w:rsid w:val="003D6E2F"/>
    <w:rsid w:val="003D7964"/>
    <w:rsid w:val="003D7BA8"/>
    <w:rsid w:val="003D7E59"/>
    <w:rsid w:val="003E0E08"/>
    <w:rsid w:val="003E1C2F"/>
    <w:rsid w:val="003E1EDB"/>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179E"/>
    <w:rsid w:val="003F1823"/>
    <w:rsid w:val="003F1DDF"/>
    <w:rsid w:val="003F1F28"/>
    <w:rsid w:val="003F3ED0"/>
    <w:rsid w:val="003F447B"/>
    <w:rsid w:val="003F50A1"/>
    <w:rsid w:val="003F5132"/>
    <w:rsid w:val="003F65B3"/>
    <w:rsid w:val="003F6B1B"/>
    <w:rsid w:val="003F6BA8"/>
    <w:rsid w:val="003F7F24"/>
    <w:rsid w:val="00400133"/>
    <w:rsid w:val="004009A7"/>
    <w:rsid w:val="00400A0B"/>
    <w:rsid w:val="00400A9F"/>
    <w:rsid w:val="00400D1B"/>
    <w:rsid w:val="004015AD"/>
    <w:rsid w:val="00401E65"/>
    <w:rsid w:val="00402593"/>
    <w:rsid w:val="004025F3"/>
    <w:rsid w:val="00402AB6"/>
    <w:rsid w:val="00402FEE"/>
    <w:rsid w:val="004030E9"/>
    <w:rsid w:val="004035B9"/>
    <w:rsid w:val="00403DA9"/>
    <w:rsid w:val="00404F25"/>
    <w:rsid w:val="0040522F"/>
    <w:rsid w:val="00405A2A"/>
    <w:rsid w:val="00405AF2"/>
    <w:rsid w:val="00405C91"/>
    <w:rsid w:val="00405E73"/>
    <w:rsid w:val="00405FD0"/>
    <w:rsid w:val="004061A4"/>
    <w:rsid w:val="004061E0"/>
    <w:rsid w:val="0040632D"/>
    <w:rsid w:val="00407B04"/>
    <w:rsid w:val="00407BC7"/>
    <w:rsid w:val="00410BE7"/>
    <w:rsid w:val="00410D26"/>
    <w:rsid w:val="0041105B"/>
    <w:rsid w:val="004124E8"/>
    <w:rsid w:val="00413625"/>
    <w:rsid w:val="00413998"/>
    <w:rsid w:val="00413BFD"/>
    <w:rsid w:val="00414A4F"/>
    <w:rsid w:val="00415756"/>
    <w:rsid w:val="00415B9C"/>
    <w:rsid w:val="004166CA"/>
    <w:rsid w:val="0041688D"/>
    <w:rsid w:val="004168DB"/>
    <w:rsid w:val="00416A9F"/>
    <w:rsid w:val="004170BB"/>
    <w:rsid w:val="00417D63"/>
    <w:rsid w:val="004201B7"/>
    <w:rsid w:val="00421FC0"/>
    <w:rsid w:val="00422A18"/>
    <w:rsid w:val="00422B01"/>
    <w:rsid w:val="00423668"/>
    <w:rsid w:val="00423C36"/>
    <w:rsid w:val="004242E7"/>
    <w:rsid w:val="00424697"/>
    <w:rsid w:val="00424B8A"/>
    <w:rsid w:val="00425A62"/>
    <w:rsid w:val="00425DDC"/>
    <w:rsid w:val="00426433"/>
    <w:rsid w:val="00427383"/>
    <w:rsid w:val="00427BF1"/>
    <w:rsid w:val="004304D3"/>
    <w:rsid w:val="00430640"/>
    <w:rsid w:val="00430E30"/>
    <w:rsid w:val="00431315"/>
    <w:rsid w:val="00433A29"/>
    <w:rsid w:val="004342A5"/>
    <w:rsid w:val="00435338"/>
    <w:rsid w:val="0043621F"/>
    <w:rsid w:val="00436AF4"/>
    <w:rsid w:val="00436D58"/>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93B"/>
    <w:rsid w:val="00444C0A"/>
    <w:rsid w:val="00444CD2"/>
    <w:rsid w:val="0044510F"/>
    <w:rsid w:val="00445FD0"/>
    <w:rsid w:val="00446573"/>
    <w:rsid w:val="0044696A"/>
    <w:rsid w:val="004470D3"/>
    <w:rsid w:val="004503FD"/>
    <w:rsid w:val="00450ADD"/>
    <w:rsid w:val="00450BA1"/>
    <w:rsid w:val="00450E38"/>
    <w:rsid w:val="004515EC"/>
    <w:rsid w:val="0045181C"/>
    <w:rsid w:val="00451AE9"/>
    <w:rsid w:val="00451B7A"/>
    <w:rsid w:val="00451DFC"/>
    <w:rsid w:val="00452B13"/>
    <w:rsid w:val="00453895"/>
    <w:rsid w:val="004538F6"/>
    <w:rsid w:val="004548A5"/>
    <w:rsid w:val="00454B0F"/>
    <w:rsid w:val="004553EB"/>
    <w:rsid w:val="00455D28"/>
    <w:rsid w:val="00455D9A"/>
    <w:rsid w:val="004562BC"/>
    <w:rsid w:val="004562F1"/>
    <w:rsid w:val="00456A9B"/>
    <w:rsid w:val="0045708B"/>
    <w:rsid w:val="00460233"/>
    <w:rsid w:val="004619CC"/>
    <w:rsid w:val="00461E36"/>
    <w:rsid w:val="0046392A"/>
    <w:rsid w:val="0046451D"/>
    <w:rsid w:val="00464A3F"/>
    <w:rsid w:val="00464A7E"/>
    <w:rsid w:val="004652F8"/>
    <w:rsid w:val="00465B3E"/>
    <w:rsid w:val="00465C0D"/>
    <w:rsid w:val="00465DED"/>
    <w:rsid w:val="00466945"/>
    <w:rsid w:val="00466ED5"/>
    <w:rsid w:val="00467388"/>
    <w:rsid w:val="00470261"/>
    <w:rsid w:val="00470367"/>
    <w:rsid w:val="004705C5"/>
    <w:rsid w:val="00470934"/>
    <w:rsid w:val="00470AE5"/>
    <w:rsid w:val="0047124D"/>
    <w:rsid w:val="00471CC8"/>
    <w:rsid w:val="00471EE7"/>
    <w:rsid w:val="0047365F"/>
    <w:rsid w:val="00474CD6"/>
    <w:rsid w:val="004751E7"/>
    <w:rsid w:val="0047562B"/>
    <w:rsid w:val="00475D1D"/>
    <w:rsid w:val="00477276"/>
    <w:rsid w:val="004776B9"/>
    <w:rsid w:val="00477C17"/>
    <w:rsid w:val="00480837"/>
    <w:rsid w:val="004813C6"/>
    <w:rsid w:val="00481B7C"/>
    <w:rsid w:val="00482DF6"/>
    <w:rsid w:val="0048578C"/>
    <w:rsid w:val="00485872"/>
    <w:rsid w:val="00485915"/>
    <w:rsid w:val="00485EA4"/>
    <w:rsid w:val="00486C08"/>
    <w:rsid w:val="0048757E"/>
    <w:rsid w:val="00487C54"/>
    <w:rsid w:val="00487F2E"/>
    <w:rsid w:val="00490561"/>
    <w:rsid w:val="0049059F"/>
    <w:rsid w:val="00492CA8"/>
    <w:rsid w:val="004932D3"/>
    <w:rsid w:val="00493783"/>
    <w:rsid w:val="00493EFE"/>
    <w:rsid w:val="004940C3"/>
    <w:rsid w:val="004945B1"/>
    <w:rsid w:val="00494C12"/>
    <w:rsid w:val="0049523D"/>
    <w:rsid w:val="00495625"/>
    <w:rsid w:val="00496420"/>
    <w:rsid w:val="00496B30"/>
    <w:rsid w:val="00496C58"/>
    <w:rsid w:val="004975A9"/>
    <w:rsid w:val="004977A8"/>
    <w:rsid w:val="00497E2B"/>
    <w:rsid w:val="004A002C"/>
    <w:rsid w:val="004A0AD0"/>
    <w:rsid w:val="004A0F14"/>
    <w:rsid w:val="004A1539"/>
    <w:rsid w:val="004A1D55"/>
    <w:rsid w:val="004A262B"/>
    <w:rsid w:val="004A2B58"/>
    <w:rsid w:val="004A2E82"/>
    <w:rsid w:val="004A3080"/>
    <w:rsid w:val="004A4862"/>
    <w:rsid w:val="004A487C"/>
    <w:rsid w:val="004A4E10"/>
    <w:rsid w:val="004A565E"/>
    <w:rsid w:val="004A59A4"/>
    <w:rsid w:val="004A6727"/>
    <w:rsid w:val="004A6981"/>
    <w:rsid w:val="004A6E06"/>
    <w:rsid w:val="004A73C9"/>
    <w:rsid w:val="004A7475"/>
    <w:rsid w:val="004A7F95"/>
    <w:rsid w:val="004B261D"/>
    <w:rsid w:val="004B35DD"/>
    <w:rsid w:val="004B4608"/>
    <w:rsid w:val="004C1447"/>
    <w:rsid w:val="004C15CD"/>
    <w:rsid w:val="004C262D"/>
    <w:rsid w:val="004C2758"/>
    <w:rsid w:val="004C3CB6"/>
    <w:rsid w:val="004C57D7"/>
    <w:rsid w:val="004C586A"/>
    <w:rsid w:val="004C60EB"/>
    <w:rsid w:val="004C6802"/>
    <w:rsid w:val="004C6F5B"/>
    <w:rsid w:val="004C7132"/>
    <w:rsid w:val="004C725E"/>
    <w:rsid w:val="004C73AB"/>
    <w:rsid w:val="004C77BC"/>
    <w:rsid w:val="004D032D"/>
    <w:rsid w:val="004D03B3"/>
    <w:rsid w:val="004D05E3"/>
    <w:rsid w:val="004D0729"/>
    <w:rsid w:val="004D10AE"/>
    <w:rsid w:val="004D176E"/>
    <w:rsid w:val="004D241E"/>
    <w:rsid w:val="004D411E"/>
    <w:rsid w:val="004D427F"/>
    <w:rsid w:val="004D591C"/>
    <w:rsid w:val="004D5B92"/>
    <w:rsid w:val="004D5ED0"/>
    <w:rsid w:val="004D6A22"/>
    <w:rsid w:val="004D6CA1"/>
    <w:rsid w:val="004D6F8E"/>
    <w:rsid w:val="004D7070"/>
    <w:rsid w:val="004D7151"/>
    <w:rsid w:val="004D7D6F"/>
    <w:rsid w:val="004E019A"/>
    <w:rsid w:val="004E05BE"/>
    <w:rsid w:val="004E08F2"/>
    <w:rsid w:val="004E0BF6"/>
    <w:rsid w:val="004E0D9C"/>
    <w:rsid w:val="004E10C4"/>
    <w:rsid w:val="004E1BC0"/>
    <w:rsid w:val="004E206A"/>
    <w:rsid w:val="004E345A"/>
    <w:rsid w:val="004E3F06"/>
    <w:rsid w:val="004E4394"/>
    <w:rsid w:val="004E52D5"/>
    <w:rsid w:val="004E59C7"/>
    <w:rsid w:val="004E67BD"/>
    <w:rsid w:val="004E67CC"/>
    <w:rsid w:val="004E6BED"/>
    <w:rsid w:val="004F0094"/>
    <w:rsid w:val="004F091C"/>
    <w:rsid w:val="004F1279"/>
    <w:rsid w:val="004F1517"/>
    <w:rsid w:val="004F1DD7"/>
    <w:rsid w:val="004F266B"/>
    <w:rsid w:val="004F2CF9"/>
    <w:rsid w:val="004F3163"/>
    <w:rsid w:val="004F3E76"/>
    <w:rsid w:val="004F4097"/>
    <w:rsid w:val="004F4B8F"/>
    <w:rsid w:val="004F5901"/>
    <w:rsid w:val="004F59D0"/>
    <w:rsid w:val="004F5B1F"/>
    <w:rsid w:val="004F644E"/>
    <w:rsid w:val="004F797F"/>
    <w:rsid w:val="004F7E38"/>
    <w:rsid w:val="004F7F3C"/>
    <w:rsid w:val="0050043A"/>
    <w:rsid w:val="00500875"/>
    <w:rsid w:val="005011A8"/>
    <w:rsid w:val="0050193A"/>
    <w:rsid w:val="00501E03"/>
    <w:rsid w:val="00501E5A"/>
    <w:rsid w:val="00501EB7"/>
    <w:rsid w:val="00502668"/>
    <w:rsid w:val="0050276C"/>
    <w:rsid w:val="005027F7"/>
    <w:rsid w:val="0050367F"/>
    <w:rsid w:val="00503FE5"/>
    <w:rsid w:val="00504068"/>
    <w:rsid w:val="00504889"/>
    <w:rsid w:val="00504F17"/>
    <w:rsid w:val="00505297"/>
    <w:rsid w:val="0050563F"/>
    <w:rsid w:val="0050650A"/>
    <w:rsid w:val="00507045"/>
    <w:rsid w:val="00507643"/>
    <w:rsid w:val="00507FA4"/>
    <w:rsid w:val="005100BF"/>
    <w:rsid w:val="00510424"/>
    <w:rsid w:val="00510D49"/>
    <w:rsid w:val="0051105A"/>
    <w:rsid w:val="00511D21"/>
    <w:rsid w:val="00512690"/>
    <w:rsid w:val="00512B7A"/>
    <w:rsid w:val="00512CCA"/>
    <w:rsid w:val="00512EFD"/>
    <w:rsid w:val="005134DC"/>
    <w:rsid w:val="0051352C"/>
    <w:rsid w:val="00513896"/>
    <w:rsid w:val="00513998"/>
    <w:rsid w:val="00514214"/>
    <w:rsid w:val="0051453F"/>
    <w:rsid w:val="00514823"/>
    <w:rsid w:val="00514E08"/>
    <w:rsid w:val="00516294"/>
    <w:rsid w:val="00516640"/>
    <w:rsid w:val="00516987"/>
    <w:rsid w:val="00517097"/>
    <w:rsid w:val="00517439"/>
    <w:rsid w:val="005174ED"/>
    <w:rsid w:val="00517982"/>
    <w:rsid w:val="00517F8B"/>
    <w:rsid w:val="005202AA"/>
    <w:rsid w:val="00520894"/>
    <w:rsid w:val="00520A35"/>
    <w:rsid w:val="00520FFE"/>
    <w:rsid w:val="00521376"/>
    <w:rsid w:val="00521B62"/>
    <w:rsid w:val="00523995"/>
    <w:rsid w:val="00523BBD"/>
    <w:rsid w:val="005241B2"/>
    <w:rsid w:val="00524351"/>
    <w:rsid w:val="00524414"/>
    <w:rsid w:val="005244D3"/>
    <w:rsid w:val="00524A47"/>
    <w:rsid w:val="00524D1C"/>
    <w:rsid w:val="00525027"/>
    <w:rsid w:val="005265E5"/>
    <w:rsid w:val="005266E1"/>
    <w:rsid w:val="00527307"/>
    <w:rsid w:val="00527637"/>
    <w:rsid w:val="00527E4A"/>
    <w:rsid w:val="00530122"/>
    <w:rsid w:val="00530202"/>
    <w:rsid w:val="00530617"/>
    <w:rsid w:val="00530B1B"/>
    <w:rsid w:val="00531C5E"/>
    <w:rsid w:val="0053266F"/>
    <w:rsid w:val="00532A52"/>
    <w:rsid w:val="00532FBE"/>
    <w:rsid w:val="00535772"/>
    <w:rsid w:val="005360B6"/>
    <w:rsid w:val="0053616B"/>
    <w:rsid w:val="00536AB7"/>
    <w:rsid w:val="00540796"/>
    <w:rsid w:val="005408EA"/>
    <w:rsid w:val="00540B90"/>
    <w:rsid w:val="00541566"/>
    <w:rsid w:val="00541618"/>
    <w:rsid w:val="005418F9"/>
    <w:rsid w:val="00541F2C"/>
    <w:rsid w:val="005422F4"/>
    <w:rsid w:val="00542595"/>
    <w:rsid w:val="005426BA"/>
    <w:rsid w:val="00542754"/>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5010E"/>
    <w:rsid w:val="00550163"/>
    <w:rsid w:val="00550BD7"/>
    <w:rsid w:val="00550FF4"/>
    <w:rsid w:val="00551A35"/>
    <w:rsid w:val="005531EF"/>
    <w:rsid w:val="0055408C"/>
    <w:rsid w:val="00555289"/>
    <w:rsid w:val="00557BE8"/>
    <w:rsid w:val="00560452"/>
    <w:rsid w:val="0056097F"/>
    <w:rsid w:val="00560E39"/>
    <w:rsid w:val="005622D6"/>
    <w:rsid w:val="00562AD4"/>
    <w:rsid w:val="00563583"/>
    <w:rsid w:val="005635DB"/>
    <w:rsid w:val="00563722"/>
    <w:rsid w:val="005644D2"/>
    <w:rsid w:val="00565126"/>
    <w:rsid w:val="0056605B"/>
    <w:rsid w:val="005664D0"/>
    <w:rsid w:val="00566509"/>
    <w:rsid w:val="00566C96"/>
    <w:rsid w:val="0056736F"/>
    <w:rsid w:val="005705DB"/>
    <w:rsid w:val="005709EF"/>
    <w:rsid w:val="0057109F"/>
    <w:rsid w:val="00571971"/>
    <w:rsid w:val="005721D9"/>
    <w:rsid w:val="00572770"/>
    <w:rsid w:val="00572A16"/>
    <w:rsid w:val="00572D02"/>
    <w:rsid w:val="00572F10"/>
    <w:rsid w:val="005731E7"/>
    <w:rsid w:val="00573836"/>
    <w:rsid w:val="00573C96"/>
    <w:rsid w:val="00574200"/>
    <w:rsid w:val="00574776"/>
    <w:rsid w:val="00574ADD"/>
    <w:rsid w:val="00574BF4"/>
    <w:rsid w:val="00575FD0"/>
    <w:rsid w:val="00576547"/>
    <w:rsid w:val="005766D7"/>
    <w:rsid w:val="00576ED0"/>
    <w:rsid w:val="00576F87"/>
    <w:rsid w:val="00577B69"/>
    <w:rsid w:val="005800A3"/>
    <w:rsid w:val="00581587"/>
    <w:rsid w:val="00581F5A"/>
    <w:rsid w:val="00582B82"/>
    <w:rsid w:val="00582EF6"/>
    <w:rsid w:val="00583464"/>
    <w:rsid w:val="00583A9B"/>
    <w:rsid w:val="00585A48"/>
    <w:rsid w:val="00585D80"/>
    <w:rsid w:val="00586A60"/>
    <w:rsid w:val="00587847"/>
    <w:rsid w:val="00587868"/>
    <w:rsid w:val="00587E0C"/>
    <w:rsid w:val="00591025"/>
    <w:rsid w:val="00591555"/>
    <w:rsid w:val="00592CDD"/>
    <w:rsid w:val="00592E85"/>
    <w:rsid w:val="00592F69"/>
    <w:rsid w:val="00593557"/>
    <w:rsid w:val="005935DB"/>
    <w:rsid w:val="0059385F"/>
    <w:rsid w:val="005946F1"/>
    <w:rsid w:val="00597E2F"/>
    <w:rsid w:val="005A02B7"/>
    <w:rsid w:val="005A07C9"/>
    <w:rsid w:val="005A10EF"/>
    <w:rsid w:val="005A12C1"/>
    <w:rsid w:val="005A12E3"/>
    <w:rsid w:val="005A1307"/>
    <w:rsid w:val="005A1548"/>
    <w:rsid w:val="005A371D"/>
    <w:rsid w:val="005A385F"/>
    <w:rsid w:val="005A4260"/>
    <w:rsid w:val="005A4642"/>
    <w:rsid w:val="005A4851"/>
    <w:rsid w:val="005A4B6B"/>
    <w:rsid w:val="005A4FD0"/>
    <w:rsid w:val="005A5C02"/>
    <w:rsid w:val="005A6614"/>
    <w:rsid w:val="005A66D1"/>
    <w:rsid w:val="005A708D"/>
    <w:rsid w:val="005A7559"/>
    <w:rsid w:val="005A7587"/>
    <w:rsid w:val="005B0942"/>
    <w:rsid w:val="005B1ADB"/>
    <w:rsid w:val="005B1BDC"/>
    <w:rsid w:val="005B1C58"/>
    <w:rsid w:val="005B342A"/>
    <w:rsid w:val="005B37AA"/>
    <w:rsid w:val="005B4418"/>
    <w:rsid w:val="005B49FC"/>
    <w:rsid w:val="005B4B65"/>
    <w:rsid w:val="005B5529"/>
    <w:rsid w:val="005B645D"/>
    <w:rsid w:val="005B663F"/>
    <w:rsid w:val="005B68B6"/>
    <w:rsid w:val="005B6B95"/>
    <w:rsid w:val="005B707A"/>
    <w:rsid w:val="005B7160"/>
    <w:rsid w:val="005B73A6"/>
    <w:rsid w:val="005B768C"/>
    <w:rsid w:val="005C072E"/>
    <w:rsid w:val="005C0EE2"/>
    <w:rsid w:val="005C1691"/>
    <w:rsid w:val="005C33DE"/>
    <w:rsid w:val="005C3571"/>
    <w:rsid w:val="005C3DAD"/>
    <w:rsid w:val="005C4C1F"/>
    <w:rsid w:val="005C4D87"/>
    <w:rsid w:val="005C5F97"/>
    <w:rsid w:val="005C6799"/>
    <w:rsid w:val="005C7036"/>
    <w:rsid w:val="005C7053"/>
    <w:rsid w:val="005D0181"/>
    <w:rsid w:val="005D1B22"/>
    <w:rsid w:val="005D1C46"/>
    <w:rsid w:val="005D1F87"/>
    <w:rsid w:val="005D247E"/>
    <w:rsid w:val="005D2797"/>
    <w:rsid w:val="005D2821"/>
    <w:rsid w:val="005D29AB"/>
    <w:rsid w:val="005D2AD9"/>
    <w:rsid w:val="005D487B"/>
    <w:rsid w:val="005D569E"/>
    <w:rsid w:val="005D6A20"/>
    <w:rsid w:val="005D6BC4"/>
    <w:rsid w:val="005D75A8"/>
    <w:rsid w:val="005D7F63"/>
    <w:rsid w:val="005D7FD7"/>
    <w:rsid w:val="005E01D6"/>
    <w:rsid w:val="005E0D2C"/>
    <w:rsid w:val="005E0FBF"/>
    <w:rsid w:val="005E1A94"/>
    <w:rsid w:val="005E1E5E"/>
    <w:rsid w:val="005E1EC8"/>
    <w:rsid w:val="005E2578"/>
    <w:rsid w:val="005E320C"/>
    <w:rsid w:val="005E3644"/>
    <w:rsid w:val="005E43D7"/>
    <w:rsid w:val="005E43D9"/>
    <w:rsid w:val="005E4D2B"/>
    <w:rsid w:val="005E4DFD"/>
    <w:rsid w:val="005E4E92"/>
    <w:rsid w:val="005E5326"/>
    <w:rsid w:val="005E549E"/>
    <w:rsid w:val="005E5E26"/>
    <w:rsid w:val="005E5F05"/>
    <w:rsid w:val="005E60DE"/>
    <w:rsid w:val="005E621A"/>
    <w:rsid w:val="005E6788"/>
    <w:rsid w:val="005E78D5"/>
    <w:rsid w:val="005F048A"/>
    <w:rsid w:val="005F0DF2"/>
    <w:rsid w:val="005F1192"/>
    <w:rsid w:val="005F1569"/>
    <w:rsid w:val="005F1684"/>
    <w:rsid w:val="005F186F"/>
    <w:rsid w:val="005F2A09"/>
    <w:rsid w:val="005F3287"/>
    <w:rsid w:val="005F354D"/>
    <w:rsid w:val="005F36B8"/>
    <w:rsid w:val="005F41E6"/>
    <w:rsid w:val="005F50F8"/>
    <w:rsid w:val="005F57CD"/>
    <w:rsid w:val="005F5C60"/>
    <w:rsid w:val="005F65D7"/>
    <w:rsid w:val="005F7277"/>
    <w:rsid w:val="0060015E"/>
    <w:rsid w:val="00600FF2"/>
    <w:rsid w:val="0060107B"/>
    <w:rsid w:val="00601744"/>
    <w:rsid w:val="00601EEB"/>
    <w:rsid w:val="0060324A"/>
    <w:rsid w:val="00603B00"/>
    <w:rsid w:val="00604586"/>
    <w:rsid w:val="00604A3E"/>
    <w:rsid w:val="00604E98"/>
    <w:rsid w:val="00605593"/>
    <w:rsid w:val="00607D49"/>
    <w:rsid w:val="00607E9C"/>
    <w:rsid w:val="00610586"/>
    <w:rsid w:val="00610A0E"/>
    <w:rsid w:val="00610D9A"/>
    <w:rsid w:val="00611ED2"/>
    <w:rsid w:val="00613239"/>
    <w:rsid w:val="006133AF"/>
    <w:rsid w:val="00614D9F"/>
    <w:rsid w:val="0061600A"/>
    <w:rsid w:val="00616417"/>
    <w:rsid w:val="0061657A"/>
    <w:rsid w:val="00616CA8"/>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5C14"/>
    <w:rsid w:val="00627AF1"/>
    <w:rsid w:val="00627B99"/>
    <w:rsid w:val="00627E79"/>
    <w:rsid w:val="00631EC7"/>
    <w:rsid w:val="006335B0"/>
    <w:rsid w:val="00633D19"/>
    <w:rsid w:val="00633D42"/>
    <w:rsid w:val="00634056"/>
    <w:rsid w:val="0063472A"/>
    <w:rsid w:val="00634CAD"/>
    <w:rsid w:val="00634E82"/>
    <w:rsid w:val="006363FA"/>
    <w:rsid w:val="00636979"/>
    <w:rsid w:val="006372D5"/>
    <w:rsid w:val="00637828"/>
    <w:rsid w:val="006379A7"/>
    <w:rsid w:val="00637EA1"/>
    <w:rsid w:val="00640237"/>
    <w:rsid w:val="0064124F"/>
    <w:rsid w:val="00641AB6"/>
    <w:rsid w:val="00642173"/>
    <w:rsid w:val="00642997"/>
    <w:rsid w:val="006436D0"/>
    <w:rsid w:val="00643F7D"/>
    <w:rsid w:val="00645DD3"/>
    <w:rsid w:val="0064650B"/>
    <w:rsid w:val="00646641"/>
    <w:rsid w:val="00646B2F"/>
    <w:rsid w:val="00646FF5"/>
    <w:rsid w:val="00647CD3"/>
    <w:rsid w:val="0065022E"/>
    <w:rsid w:val="00650398"/>
    <w:rsid w:val="0065047A"/>
    <w:rsid w:val="006510E7"/>
    <w:rsid w:val="00651D1E"/>
    <w:rsid w:val="006524CF"/>
    <w:rsid w:val="00652AB2"/>
    <w:rsid w:val="00654F65"/>
    <w:rsid w:val="006556B0"/>
    <w:rsid w:val="006557F4"/>
    <w:rsid w:val="0065588A"/>
    <w:rsid w:val="00655983"/>
    <w:rsid w:val="00656065"/>
    <w:rsid w:val="006571CF"/>
    <w:rsid w:val="0065748E"/>
    <w:rsid w:val="00657934"/>
    <w:rsid w:val="00657A63"/>
    <w:rsid w:val="006604AF"/>
    <w:rsid w:val="006612B7"/>
    <w:rsid w:val="00661497"/>
    <w:rsid w:val="00661503"/>
    <w:rsid w:val="006617A5"/>
    <w:rsid w:val="00661EB0"/>
    <w:rsid w:val="0066235E"/>
    <w:rsid w:val="00662523"/>
    <w:rsid w:val="00662B0D"/>
    <w:rsid w:val="006631F5"/>
    <w:rsid w:val="00663E53"/>
    <w:rsid w:val="006644CF"/>
    <w:rsid w:val="006645B8"/>
    <w:rsid w:val="00665461"/>
    <w:rsid w:val="00666308"/>
    <w:rsid w:val="00666BB7"/>
    <w:rsid w:val="00666C4C"/>
    <w:rsid w:val="00667518"/>
    <w:rsid w:val="00670342"/>
    <w:rsid w:val="00670D33"/>
    <w:rsid w:val="00671AFA"/>
    <w:rsid w:val="006722F6"/>
    <w:rsid w:val="006725F0"/>
    <w:rsid w:val="00672A00"/>
    <w:rsid w:val="00674DCE"/>
    <w:rsid w:val="00675104"/>
    <w:rsid w:val="00675A8E"/>
    <w:rsid w:val="00675D1F"/>
    <w:rsid w:val="00675F27"/>
    <w:rsid w:val="00676955"/>
    <w:rsid w:val="00676D3E"/>
    <w:rsid w:val="00677048"/>
    <w:rsid w:val="006773E0"/>
    <w:rsid w:val="0068046C"/>
    <w:rsid w:val="006812C0"/>
    <w:rsid w:val="00681732"/>
    <w:rsid w:val="00681B7E"/>
    <w:rsid w:val="006828B7"/>
    <w:rsid w:val="00683085"/>
    <w:rsid w:val="0068387C"/>
    <w:rsid w:val="00683942"/>
    <w:rsid w:val="00683ACE"/>
    <w:rsid w:val="00683E1A"/>
    <w:rsid w:val="0068574F"/>
    <w:rsid w:val="00686222"/>
    <w:rsid w:val="00686C68"/>
    <w:rsid w:val="00686F04"/>
    <w:rsid w:val="00686F62"/>
    <w:rsid w:val="00687043"/>
    <w:rsid w:val="006872FC"/>
    <w:rsid w:val="00690B64"/>
    <w:rsid w:val="00691F51"/>
    <w:rsid w:val="00692328"/>
    <w:rsid w:val="0069241A"/>
    <w:rsid w:val="006935B9"/>
    <w:rsid w:val="00694848"/>
    <w:rsid w:val="00695224"/>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56B"/>
    <w:rsid w:val="006A2F27"/>
    <w:rsid w:val="006A333F"/>
    <w:rsid w:val="006A33B2"/>
    <w:rsid w:val="006A38CC"/>
    <w:rsid w:val="006A3E23"/>
    <w:rsid w:val="006A48DE"/>
    <w:rsid w:val="006A4A68"/>
    <w:rsid w:val="006A4DFD"/>
    <w:rsid w:val="006A5013"/>
    <w:rsid w:val="006A5734"/>
    <w:rsid w:val="006A610B"/>
    <w:rsid w:val="006A6598"/>
    <w:rsid w:val="006A6C76"/>
    <w:rsid w:val="006A75E1"/>
    <w:rsid w:val="006A7DA2"/>
    <w:rsid w:val="006B09B1"/>
    <w:rsid w:val="006B1298"/>
    <w:rsid w:val="006B1923"/>
    <w:rsid w:val="006B1CFA"/>
    <w:rsid w:val="006B260C"/>
    <w:rsid w:val="006B2E18"/>
    <w:rsid w:val="006B38D4"/>
    <w:rsid w:val="006B3D4C"/>
    <w:rsid w:val="006B445B"/>
    <w:rsid w:val="006B541F"/>
    <w:rsid w:val="006B5DC9"/>
    <w:rsid w:val="006B65F2"/>
    <w:rsid w:val="006B66F8"/>
    <w:rsid w:val="006B6C8C"/>
    <w:rsid w:val="006B6CDF"/>
    <w:rsid w:val="006B7604"/>
    <w:rsid w:val="006B77FE"/>
    <w:rsid w:val="006B7A32"/>
    <w:rsid w:val="006C0088"/>
    <w:rsid w:val="006C0CC8"/>
    <w:rsid w:val="006C1D0E"/>
    <w:rsid w:val="006C1FFC"/>
    <w:rsid w:val="006C2192"/>
    <w:rsid w:val="006C2227"/>
    <w:rsid w:val="006C2237"/>
    <w:rsid w:val="006C2A33"/>
    <w:rsid w:val="006C3391"/>
    <w:rsid w:val="006C3C53"/>
    <w:rsid w:val="006C3CBA"/>
    <w:rsid w:val="006C3E30"/>
    <w:rsid w:val="006C3E96"/>
    <w:rsid w:val="006C4AC7"/>
    <w:rsid w:val="006C511D"/>
    <w:rsid w:val="006C5F50"/>
    <w:rsid w:val="006D0435"/>
    <w:rsid w:val="006D05EF"/>
    <w:rsid w:val="006D0878"/>
    <w:rsid w:val="006D0BDD"/>
    <w:rsid w:val="006D0BE5"/>
    <w:rsid w:val="006D0CB8"/>
    <w:rsid w:val="006D0CDA"/>
    <w:rsid w:val="006D150F"/>
    <w:rsid w:val="006D23E7"/>
    <w:rsid w:val="006D2762"/>
    <w:rsid w:val="006D2A1D"/>
    <w:rsid w:val="006D32D2"/>
    <w:rsid w:val="006D41C9"/>
    <w:rsid w:val="006D48F6"/>
    <w:rsid w:val="006D5920"/>
    <w:rsid w:val="006D59CA"/>
    <w:rsid w:val="006D6A01"/>
    <w:rsid w:val="006D7DAF"/>
    <w:rsid w:val="006E0126"/>
    <w:rsid w:val="006E0848"/>
    <w:rsid w:val="006E1450"/>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6278"/>
    <w:rsid w:val="006F7BB8"/>
    <w:rsid w:val="00700FC6"/>
    <w:rsid w:val="00701022"/>
    <w:rsid w:val="00701092"/>
    <w:rsid w:val="007016CB"/>
    <w:rsid w:val="0070184D"/>
    <w:rsid w:val="00701DDF"/>
    <w:rsid w:val="00702247"/>
    <w:rsid w:val="007033F1"/>
    <w:rsid w:val="00704B50"/>
    <w:rsid w:val="00704CBD"/>
    <w:rsid w:val="0070597A"/>
    <w:rsid w:val="007059E9"/>
    <w:rsid w:val="00705DC2"/>
    <w:rsid w:val="0070655B"/>
    <w:rsid w:val="00707536"/>
    <w:rsid w:val="00707DE3"/>
    <w:rsid w:val="00710292"/>
    <w:rsid w:val="00713861"/>
    <w:rsid w:val="00714054"/>
    <w:rsid w:val="00714083"/>
    <w:rsid w:val="00716559"/>
    <w:rsid w:val="00716C9E"/>
    <w:rsid w:val="007205F0"/>
    <w:rsid w:val="0072127E"/>
    <w:rsid w:val="007215B3"/>
    <w:rsid w:val="0072271B"/>
    <w:rsid w:val="00722DF7"/>
    <w:rsid w:val="00723C90"/>
    <w:rsid w:val="0072460F"/>
    <w:rsid w:val="00724702"/>
    <w:rsid w:val="007247CF"/>
    <w:rsid w:val="00724AD9"/>
    <w:rsid w:val="007258FF"/>
    <w:rsid w:val="00725EFC"/>
    <w:rsid w:val="00725FAB"/>
    <w:rsid w:val="007264FB"/>
    <w:rsid w:val="00727237"/>
    <w:rsid w:val="00730966"/>
    <w:rsid w:val="00730B23"/>
    <w:rsid w:val="00731614"/>
    <w:rsid w:val="007325D2"/>
    <w:rsid w:val="00733153"/>
    <w:rsid w:val="00733B22"/>
    <w:rsid w:val="007356DE"/>
    <w:rsid w:val="00735C72"/>
    <w:rsid w:val="007367CA"/>
    <w:rsid w:val="00736C6D"/>
    <w:rsid w:val="007377B5"/>
    <w:rsid w:val="00737C0A"/>
    <w:rsid w:val="00740187"/>
    <w:rsid w:val="0074160D"/>
    <w:rsid w:val="00741C58"/>
    <w:rsid w:val="00741C5E"/>
    <w:rsid w:val="00743262"/>
    <w:rsid w:val="007444BF"/>
    <w:rsid w:val="007444FA"/>
    <w:rsid w:val="0074533B"/>
    <w:rsid w:val="00745BD2"/>
    <w:rsid w:val="007460BF"/>
    <w:rsid w:val="00746164"/>
    <w:rsid w:val="007463BC"/>
    <w:rsid w:val="00746A22"/>
    <w:rsid w:val="00746F94"/>
    <w:rsid w:val="00746FB8"/>
    <w:rsid w:val="00747C97"/>
    <w:rsid w:val="00747CEF"/>
    <w:rsid w:val="0075028B"/>
    <w:rsid w:val="00750D85"/>
    <w:rsid w:val="00750D90"/>
    <w:rsid w:val="00751041"/>
    <w:rsid w:val="00751196"/>
    <w:rsid w:val="00752B74"/>
    <w:rsid w:val="00752E07"/>
    <w:rsid w:val="00752FEA"/>
    <w:rsid w:val="00753B52"/>
    <w:rsid w:val="00755213"/>
    <w:rsid w:val="0075523F"/>
    <w:rsid w:val="00755E79"/>
    <w:rsid w:val="00756916"/>
    <w:rsid w:val="00756A61"/>
    <w:rsid w:val="00756F86"/>
    <w:rsid w:val="0075777A"/>
    <w:rsid w:val="0076013E"/>
    <w:rsid w:val="0076128E"/>
    <w:rsid w:val="0076266C"/>
    <w:rsid w:val="007645ED"/>
    <w:rsid w:val="00765002"/>
    <w:rsid w:val="007675F7"/>
    <w:rsid w:val="0077091F"/>
    <w:rsid w:val="00771266"/>
    <w:rsid w:val="00771B21"/>
    <w:rsid w:val="00772036"/>
    <w:rsid w:val="0077203D"/>
    <w:rsid w:val="00772114"/>
    <w:rsid w:val="00772150"/>
    <w:rsid w:val="007721E3"/>
    <w:rsid w:val="00772B31"/>
    <w:rsid w:val="00773B71"/>
    <w:rsid w:val="00774BE0"/>
    <w:rsid w:val="00775496"/>
    <w:rsid w:val="00775850"/>
    <w:rsid w:val="00775910"/>
    <w:rsid w:val="00776534"/>
    <w:rsid w:val="007768AE"/>
    <w:rsid w:val="00776F7B"/>
    <w:rsid w:val="00777322"/>
    <w:rsid w:val="00777C1D"/>
    <w:rsid w:val="00780CFA"/>
    <w:rsid w:val="00780D57"/>
    <w:rsid w:val="00780F67"/>
    <w:rsid w:val="007811DE"/>
    <w:rsid w:val="007818C5"/>
    <w:rsid w:val="00781EF6"/>
    <w:rsid w:val="00781F40"/>
    <w:rsid w:val="00782CE7"/>
    <w:rsid w:val="00782F5F"/>
    <w:rsid w:val="00783824"/>
    <w:rsid w:val="00784306"/>
    <w:rsid w:val="00784450"/>
    <w:rsid w:val="00784DDD"/>
    <w:rsid w:val="00785434"/>
    <w:rsid w:val="007854AB"/>
    <w:rsid w:val="00785789"/>
    <w:rsid w:val="007857B5"/>
    <w:rsid w:val="00785923"/>
    <w:rsid w:val="00785F9C"/>
    <w:rsid w:val="007860FC"/>
    <w:rsid w:val="00786D03"/>
    <w:rsid w:val="00786EFE"/>
    <w:rsid w:val="007874E8"/>
    <w:rsid w:val="00787E46"/>
    <w:rsid w:val="00790C65"/>
    <w:rsid w:val="007914C4"/>
    <w:rsid w:val="007929D3"/>
    <w:rsid w:val="00792DF5"/>
    <w:rsid w:val="0079538B"/>
    <w:rsid w:val="0079543C"/>
    <w:rsid w:val="00795707"/>
    <w:rsid w:val="007958A2"/>
    <w:rsid w:val="00795A32"/>
    <w:rsid w:val="00795C4E"/>
    <w:rsid w:val="007970DC"/>
    <w:rsid w:val="00797438"/>
    <w:rsid w:val="00797A25"/>
    <w:rsid w:val="007A03B1"/>
    <w:rsid w:val="007A0520"/>
    <w:rsid w:val="007A0605"/>
    <w:rsid w:val="007A09DF"/>
    <w:rsid w:val="007A0E2F"/>
    <w:rsid w:val="007A10E6"/>
    <w:rsid w:val="007A1136"/>
    <w:rsid w:val="007A20EA"/>
    <w:rsid w:val="007A241F"/>
    <w:rsid w:val="007A26FB"/>
    <w:rsid w:val="007A3506"/>
    <w:rsid w:val="007A372A"/>
    <w:rsid w:val="007A4153"/>
    <w:rsid w:val="007A46C9"/>
    <w:rsid w:val="007A530D"/>
    <w:rsid w:val="007A5CE6"/>
    <w:rsid w:val="007A6113"/>
    <w:rsid w:val="007A6DFA"/>
    <w:rsid w:val="007A7B86"/>
    <w:rsid w:val="007B081D"/>
    <w:rsid w:val="007B0895"/>
    <w:rsid w:val="007B1DED"/>
    <w:rsid w:val="007B3EEC"/>
    <w:rsid w:val="007B3F83"/>
    <w:rsid w:val="007B3FFF"/>
    <w:rsid w:val="007B47BA"/>
    <w:rsid w:val="007B4B17"/>
    <w:rsid w:val="007B62F5"/>
    <w:rsid w:val="007B7652"/>
    <w:rsid w:val="007B7ACF"/>
    <w:rsid w:val="007C07D2"/>
    <w:rsid w:val="007C0C41"/>
    <w:rsid w:val="007C0E51"/>
    <w:rsid w:val="007C0F7B"/>
    <w:rsid w:val="007C12FC"/>
    <w:rsid w:val="007C1A56"/>
    <w:rsid w:val="007C22A2"/>
    <w:rsid w:val="007C2322"/>
    <w:rsid w:val="007C2370"/>
    <w:rsid w:val="007C26B9"/>
    <w:rsid w:val="007C37D2"/>
    <w:rsid w:val="007C4B16"/>
    <w:rsid w:val="007C573D"/>
    <w:rsid w:val="007C5BAA"/>
    <w:rsid w:val="007C5EB7"/>
    <w:rsid w:val="007C79CF"/>
    <w:rsid w:val="007C7BAE"/>
    <w:rsid w:val="007D02AD"/>
    <w:rsid w:val="007D04E6"/>
    <w:rsid w:val="007D06EE"/>
    <w:rsid w:val="007D0D57"/>
    <w:rsid w:val="007D1D33"/>
    <w:rsid w:val="007D2640"/>
    <w:rsid w:val="007D2656"/>
    <w:rsid w:val="007D27C9"/>
    <w:rsid w:val="007D2D2D"/>
    <w:rsid w:val="007D2FDA"/>
    <w:rsid w:val="007D3809"/>
    <w:rsid w:val="007D3ABD"/>
    <w:rsid w:val="007D45FE"/>
    <w:rsid w:val="007D4A85"/>
    <w:rsid w:val="007D4BBF"/>
    <w:rsid w:val="007D52F4"/>
    <w:rsid w:val="007D53E8"/>
    <w:rsid w:val="007D5CFE"/>
    <w:rsid w:val="007D5FFC"/>
    <w:rsid w:val="007D7965"/>
    <w:rsid w:val="007E03E4"/>
    <w:rsid w:val="007E0EDD"/>
    <w:rsid w:val="007E0F1F"/>
    <w:rsid w:val="007E1165"/>
    <w:rsid w:val="007E1365"/>
    <w:rsid w:val="007E1EBF"/>
    <w:rsid w:val="007E218F"/>
    <w:rsid w:val="007E21CA"/>
    <w:rsid w:val="007E24F9"/>
    <w:rsid w:val="007E2D10"/>
    <w:rsid w:val="007E31D2"/>
    <w:rsid w:val="007E3300"/>
    <w:rsid w:val="007E3899"/>
    <w:rsid w:val="007E4431"/>
    <w:rsid w:val="007E479E"/>
    <w:rsid w:val="007E5533"/>
    <w:rsid w:val="007E5555"/>
    <w:rsid w:val="007E5691"/>
    <w:rsid w:val="007E56DD"/>
    <w:rsid w:val="007E614B"/>
    <w:rsid w:val="007E6353"/>
    <w:rsid w:val="007E637E"/>
    <w:rsid w:val="007E6C96"/>
    <w:rsid w:val="007E7BB8"/>
    <w:rsid w:val="007E7BEA"/>
    <w:rsid w:val="007F0400"/>
    <w:rsid w:val="007F040C"/>
    <w:rsid w:val="007F068D"/>
    <w:rsid w:val="007F0A9F"/>
    <w:rsid w:val="007F1B06"/>
    <w:rsid w:val="007F215B"/>
    <w:rsid w:val="007F268D"/>
    <w:rsid w:val="007F2907"/>
    <w:rsid w:val="007F2930"/>
    <w:rsid w:val="007F2AD8"/>
    <w:rsid w:val="007F2BEA"/>
    <w:rsid w:val="007F345B"/>
    <w:rsid w:val="007F36BA"/>
    <w:rsid w:val="007F497F"/>
    <w:rsid w:val="007F5124"/>
    <w:rsid w:val="007F53C0"/>
    <w:rsid w:val="007F577C"/>
    <w:rsid w:val="007F6A3A"/>
    <w:rsid w:val="007F6AC2"/>
    <w:rsid w:val="00800E47"/>
    <w:rsid w:val="00801AB1"/>
    <w:rsid w:val="00802383"/>
    <w:rsid w:val="00802C82"/>
    <w:rsid w:val="008033B8"/>
    <w:rsid w:val="008033C1"/>
    <w:rsid w:val="00803689"/>
    <w:rsid w:val="00803D71"/>
    <w:rsid w:val="00803DDC"/>
    <w:rsid w:val="00803EBA"/>
    <w:rsid w:val="0080498C"/>
    <w:rsid w:val="008049DB"/>
    <w:rsid w:val="0080557B"/>
    <w:rsid w:val="00805B7B"/>
    <w:rsid w:val="00805D34"/>
    <w:rsid w:val="00806393"/>
    <w:rsid w:val="00806FF0"/>
    <w:rsid w:val="00810A80"/>
    <w:rsid w:val="00811009"/>
    <w:rsid w:val="00811082"/>
    <w:rsid w:val="00812CAB"/>
    <w:rsid w:val="00813405"/>
    <w:rsid w:val="0081357E"/>
    <w:rsid w:val="00813C9D"/>
    <w:rsid w:val="00814F99"/>
    <w:rsid w:val="008155EC"/>
    <w:rsid w:val="00815C51"/>
    <w:rsid w:val="00816BEF"/>
    <w:rsid w:val="00816D29"/>
    <w:rsid w:val="008179EA"/>
    <w:rsid w:val="00817F99"/>
    <w:rsid w:val="0082025A"/>
    <w:rsid w:val="0082096A"/>
    <w:rsid w:val="00820DEF"/>
    <w:rsid w:val="008210EA"/>
    <w:rsid w:val="00821B46"/>
    <w:rsid w:val="008222AD"/>
    <w:rsid w:val="00822512"/>
    <w:rsid w:val="00822561"/>
    <w:rsid w:val="008225F9"/>
    <w:rsid w:val="00822D3C"/>
    <w:rsid w:val="00822FFE"/>
    <w:rsid w:val="00823691"/>
    <w:rsid w:val="008239AF"/>
    <w:rsid w:val="0082530D"/>
    <w:rsid w:val="00825530"/>
    <w:rsid w:val="00827280"/>
    <w:rsid w:val="008275A6"/>
    <w:rsid w:val="00827773"/>
    <w:rsid w:val="00827B06"/>
    <w:rsid w:val="00827E2A"/>
    <w:rsid w:val="00830148"/>
    <w:rsid w:val="00830AF2"/>
    <w:rsid w:val="00830BFC"/>
    <w:rsid w:val="00830EAB"/>
    <w:rsid w:val="008310D2"/>
    <w:rsid w:val="00831F24"/>
    <w:rsid w:val="00832458"/>
    <w:rsid w:val="00832601"/>
    <w:rsid w:val="00832DD9"/>
    <w:rsid w:val="00833045"/>
    <w:rsid w:val="0083687A"/>
    <w:rsid w:val="0083775C"/>
    <w:rsid w:val="008400CE"/>
    <w:rsid w:val="00841487"/>
    <w:rsid w:val="0084170D"/>
    <w:rsid w:val="008425E8"/>
    <w:rsid w:val="00842ACC"/>
    <w:rsid w:val="00842BD7"/>
    <w:rsid w:val="008430B9"/>
    <w:rsid w:val="008443F1"/>
    <w:rsid w:val="00844AC8"/>
    <w:rsid w:val="0084510F"/>
    <w:rsid w:val="0084544D"/>
    <w:rsid w:val="008454E1"/>
    <w:rsid w:val="00845E68"/>
    <w:rsid w:val="008460C4"/>
    <w:rsid w:val="008469B2"/>
    <w:rsid w:val="00847032"/>
    <w:rsid w:val="008472DB"/>
    <w:rsid w:val="008476CA"/>
    <w:rsid w:val="00850E12"/>
    <w:rsid w:val="00850E57"/>
    <w:rsid w:val="0085101E"/>
    <w:rsid w:val="00852470"/>
    <w:rsid w:val="008524EA"/>
    <w:rsid w:val="0085254F"/>
    <w:rsid w:val="00852846"/>
    <w:rsid w:val="008538E8"/>
    <w:rsid w:val="00854CBF"/>
    <w:rsid w:val="00855C0E"/>
    <w:rsid w:val="00855CB8"/>
    <w:rsid w:val="00856618"/>
    <w:rsid w:val="008566CA"/>
    <w:rsid w:val="008568C5"/>
    <w:rsid w:val="00856B2E"/>
    <w:rsid w:val="008576E8"/>
    <w:rsid w:val="008610C6"/>
    <w:rsid w:val="00861804"/>
    <w:rsid w:val="00862584"/>
    <w:rsid w:val="00862D18"/>
    <w:rsid w:val="008632E4"/>
    <w:rsid w:val="008637BB"/>
    <w:rsid w:val="008638FB"/>
    <w:rsid w:val="00864BA7"/>
    <w:rsid w:val="00864FA0"/>
    <w:rsid w:val="00864FD5"/>
    <w:rsid w:val="00867216"/>
    <w:rsid w:val="0086743B"/>
    <w:rsid w:val="00867EF6"/>
    <w:rsid w:val="00870CEF"/>
    <w:rsid w:val="0087154B"/>
    <w:rsid w:val="00871579"/>
    <w:rsid w:val="00871793"/>
    <w:rsid w:val="00871B86"/>
    <w:rsid w:val="00872962"/>
    <w:rsid w:val="008729E8"/>
    <w:rsid w:val="008731BF"/>
    <w:rsid w:val="00873A05"/>
    <w:rsid w:val="00873C79"/>
    <w:rsid w:val="008742B8"/>
    <w:rsid w:val="00874AFA"/>
    <w:rsid w:val="00874BE6"/>
    <w:rsid w:val="00874BEF"/>
    <w:rsid w:val="00874C43"/>
    <w:rsid w:val="00875044"/>
    <w:rsid w:val="008752CF"/>
    <w:rsid w:val="008752D5"/>
    <w:rsid w:val="00875D1B"/>
    <w:rsid w:val="00876093"/>
    <w:rsid w:val="008762AB"/>
    <w:rsid w:val="008774B2"/>
    <w:rsid w:val="00877570"/>
    <w:rsid w:val="008815C0"/>
    <w:rsid w:val="0088250C"/>
    <w:rsid w:val="008832BB"/>
    <w:rsid w:val="00884182"/>
    <w:rsid w:val="008844CC"/>
    <w:rsid w:val="00884DE8"/>
    <w:rsid w:val="0088512A"/>
    <w:rsid w:val="008864C3"/>
    <w:rsid w:val="00886B83"/>
    <w:rsid w:val="00887272"/>
    <w:rsid w:val="00887AA2"/>
    <w:rsid w:val="008900AB"/>
    <w:rsid w:val="0089018B"/>
    <w:rsid w:val="00890AC9"/>
    <w:rsid w:val="008916E6"/>
    <w:rsid w:val="00891B0F"/>
    <w:rsid w:val="00892147"/>
    <w:rsid w:val="0089263D"/>
    <w:rsid w:val="008926B9"/>
    <w:rsid w:val="00892BD6"/>
    <w:rsid w:val="008935B1"/>
    <w:rsid w:val="00894579"/>
    <w:rsid w:val="00894649"/>
    <w:rsid w:val="00895364"/>
    <w:rsid w:val="008959FD"/>
    <w:rsid w:val="00895C6B"/>
    <w:rsid w:val="00896D0A"/>
    <w:rsid w:val="0089751D"/>
    <w:rsid w:val="00897A46"/>
    <w:rsid w:val="008A0126"/>
    <w:rsid w:val="008A07C5"/>
    <w:rsid w:val="008A0954"/>
    <w:rsid w:val="008A0D61"/>
    <w:rsid w:val="008A241B"/>
    <w:rsid w:val="008A2A96"/>
    <w:rsid w:val="008A3F58"/>
    <w:rsid w:val="008A43A8"/>
    <w:rsid w:val="008A4499"/>
    <w:rsid w:val="008A4831"/>
    <w:rsid w:val="008A531F"/>
    <w:rsid w:val="008A596A"/>
    <w:rsid w:val="008A59F2"/>
    <w:rsid w:val="008A5DAC"/>
    <w:rsid w:val="008A636F"/>
    <w:rsid w:val="008A6F31"/>
    <w:rsid w:val="008A7065"/>
    <w:rsid w:val="008A78FE"/>
    <w:rsid w:val="008A79F4"/>
    <w:rsid w:val="008A7EC2"/>
    <w:rsid w:val="008B0E4F"/>
    <w:rsid w:val="008B11DE"/>
    <w:rsid w:val="008B1807"/>
    <w:rsid w:val="008B1874"/>
    <w:rsid w:val="008B2637"/>
    <w:rsid w:val="008B2706"/>
    <w:rsid w:val="008B2D1E"/>
    <w:rsid w:val="008B3114"/>
    <w:rsid w:val="008B319C"/>
    <w:rsid w:val="008B31E9"/>
    <w:rsid w:val="008B3E6B"/>
    <w:rsid w:val="008B5768"/>
    <w:rsid w:val="008B591C"/>
    <w:rsid w:val="008B5B1F"/>
    <w:rsid w:val="008B5F93"/>
    <w:rsid w:val="008B5FD5"/>
    <w:rsid w:val="008B63BB"/>
    <w:rsid w:val="008B6948"/>
    <w:rsid w:val="008B6DA0"/>
    <w:rsid w:val="008B6E0E"/>
    <w:rsid w:val="008B6E85"/>
    <w:rsid w:val="008B761D"/>
    <w:rsid w:val="008C0190"/>
    <w:rsid w:val="008C01FF"/>
    <w:rsid w:val="008C0A9D"/>
    <w:rsid w:val="008C17E1"/>
    <w:rsid w:val="008C1961"/>
    <w:rsid w:val="008C32C7"/>
    <w:rsid w:val="008C455A"/>
    <w:rsid w:val="008C4CA8"/>
    <w:rsid w:val="008C4EDA"/>
    <w:rsid w:val="008C5305"/>
    <w:rsid w:val="008C5566"/>
    <w:rsid w:val="008C562A"/>
    <w:rsid w:val="008C5863"/>
    <w:rsid w:val="008C69A9"/>
    <w:rsid w:val="008C6D7A"/>
    <w:rsid w:val="008C7124"/>
    <w:rsid w:val="008C713E"/>
    <w:rsid w:val="008C7B9B"/>
    <w:rsid w:val="008D0D6B"/>
    <w:rsid w:val="008D0E73"/>
    <w:rsid w:val="008D14B9"/>
    <w:rsid w:val="008D1648"/>
    <w:rsid w:val="008D16DD"/>
    <w:rsid w:val="008D2745"/>
    <w:rsid w:val="008D2A84"/>
    <w:rsid w:val="008D4D1D"/>
    <w:rsid w:val="008D5D67"/>
    <w:rsid w:val="008D5F2F"/>
    <w:rsid w:val="008D6448"/>
    <w:rsid w:val="008D682A"/>
    <w:rsid w:val="008D751E"/>
    <w:rsid w:val="008D7E7E"/>
    <w:rsid w:val="008E02A6"/>
    <w:rsid w:val="008E02FA"/>
    <w:rsid w:val="008E1922"/>
    <w:rsid w:val="008E1CD3"/>
    <w:rsid w:val="008E1F25"/>
    <w:rsid w:val="008E27CB"/>
    <w:rsid w:val="008E2AE3"/>
    <w:rsid w:val="008E449D"/>
    <w:rsid w:val="008E57B4"/>
    <w:rsid w:val="008E58A8"/>
    <w:rsid w:val="008E6374"/>
    <w:rsid w:val="008E6791"/>
    <w:rsid w:val="008E72A7"/>
    <w:rsid w:val="008E7C43"/>
    <w:rsid w:val="008F0232"/>
    <w:rsid w:val="008F04AE"/>
    <w:rsid w:val="008F0682"/>
    <w:rsid w:val="008F06E3"/>
    <w:rsid w:val="008F23FE"/>
    <w:rsid w:val="008F2C96"/>
    <w:rsid w:val="008F3767"/>
    <w:rsid w:val="008F3AB4"/>
    <w:rsid w:val="008F432B"/>
    <w:rsid w:val="008F43F9"/>
    <w:rsid w:val="008F4452"/>
    <w:rsid w:val="008F4F69"/>
    <w:rsid w:val="008F4FFD"/>
    <w:rsid w:val="008F53DF"/>
    <w:rsid w:val="008F54DD"/>
    <w:rsid w:val="008F6E39"/>
    <w:rsid w:val="00900473"/>
    <w:rsid w:val="00900ED9"/>
    <w:rsid w:val="009013F6"/>
    <w:rsid w:val="00901880"/>
    <w:rsid w:val="009018CE"/>
    <w:rsid w:val="00901D16"/>
    <w:rsid w:val="00901EB2"/>
    <w:rsid w:val="00902AA5"/>
    <w:rsid w:val="00904F14"/>
    <w:rsid w:val="0090562E"/>
    <w:rsid w:val="00905A66"/>
    <w:rsid w:val="00905DB4"/>
    <w:rsid w:val="00906446"/>
    <w:rsid w:val="00906459"/>
    <w:rsid w:val="009068B9"/>
    <w:rsid w:val="00906C94"/>
    <w:rsid w:val="009071BB"/>
    <w:rsid w:val="00911100"/>
    <w:rsid w:val="009130F8"/>
    <w:rsid w:val="00913249"/>
    <w:rsid w:val="00913494"/>
    <w:rsid w:val="00913699"/>
    <w:rsid w:val="00913C46"/>
    <w:rsid w:val="00913F80"/>
    <w:rsid w:val="009144AB"/>
    <w:rsid w:val="00914654"/>
    <w:rsid w:val="00914F50"/>
    <w:rsid w:val="009152A9"/>
    <w:rsid w:val="00915CC4"/>
    <w:rsid w:val="00916161"/>
    <w:rsid w:val="00916292"/>
    <w:rsid w:val="009175C2"/>
    <w:rsid w:val="0091789A"/>
    <w:rsid w:val="00917D64"/>
    <w:rsid w:val="0092251C"/>
    <w:rsid w:val="009226C5"/>
    <w:rsid w:val="009229C9"/>
    <w:rsid w:val="0092357A"/>
    <w:rsid w:val="00923D27"/>
    <w:rsid w:val="0092402B"/>
    <w:rsid w:val="00924A9F"/>
    <w:rsid w:val="00925042"/>
    <w:rsid w:val="009251E0"/>
    <w:rsid w:val="009269BD"/>
    <w:rsid w:val="00926AA3"/>
    <w:rsid w:val="00926E00"/>
    <w:rsid w:val="00930B44"/>
    <w:rsid w:val="00931225"/>
    <w:rsid w:val="0093126B"/>
    <w:rsid w:val="0093128F"/>
    <w:rsid w:val="00931D72"/>
    <w:rsid w:val="00932288"/>
    <w:rsid w:val="00932774"/>
    <w:rsid w:val="00933603"/>
    <w:rsid w:val="00934680"/>
    <w:rsid w:val="009350DA"/>
    <w:rsid w:val="0093570B"/>
    <w:rsid w:val="009357E4"/>
    <w:rsid w:val="0093646B"/>
    <w:rsid w:val="0093791B"/>
    <w:rsid w:val="00940D6C"/>
    <w:rsid w:val="00941303"/>
    <w:rsid w:val="0094165E"/>
    <w:rsid w:val="00941FD2"/>
    <w:rsid w:val="009429B6"/>
    <w:rsid w:val="009443AE"/>
    <w:rsid w:val="00944B51"/>
    <w:rsid w:val="00944BA6"/>
    <w:rsid w:val="00944CFB"/>
    <w:rsid w:val="00944F50"/>
    <w:rsid w:val="00945199"/>
    <w:rsid w:val="009457AA"/>
    <w:rsid w:val="00945A29"/>
    <w:rsid w:val="009463D5"/>
    <w:rsid w:val="00946797"/>
    <w:rsid w:val="00946800"/>
    <w:rsid w:val="00946822"/>
    <w:rsid w:val="00946E05"/>
    <w:rsid w:val="0094706D"/>
    <w:rsid w:val="0094763F"/>
    <w:rsid w:val="00947C03"/>
    <w:rsid w:val="009511EB"/>
    <w:rsid w:val="00951870"/>
    <w:rsid w:val="00951EE6"/>
    <w:rsid w:val="00952051"/>
    <w:rsid w:val="00953D69"/>
    <w:rsid w:val="00954226"/>
    <w:rsid w:val="00954658"/>
    <w:rsid w:val="00956153"/>
    <w:rsid w:val="009561B4"/>
    <w:rsid w:val="009565AE"/>
    <w:rsid w:val="00956AA3"/>
    <w:rsid w:val="009574B7"/>
    <w:rsid w:val="009605F6"/>
    <w:rsid w:val="00960662"/>
    <w:rsid w:val="009611D3"/>
    <w:rsid w:val="00962193"/>
    <w:rsid w:val="009627CF"/>
    <w:rsid w:val="00962E7D"/>
    <w:rsid w:val="0096406A"/>
    <w:rsid w:val="00964D10"/>
    <w:rsid w:val="00965153"/>
    <w:rsid w:val="0096531D"/>
    <w:rsid w:val="00965371"/>
    <w:rsid w:val="00965468"/>
    <w:rsid w:val="00965874"/>
    <w:rsid w:val="00965E71"/>
    <w:rsid w:val="009667F1"/>
    <w:rsid w:val="009668D3"/>
    <w:rsid w:val="009670C2"/>
    <w:rsid w:val="00967CDE"/>
    <w:rsid w:val="00970100"/>
    <w:rsid w:val="0097040B"/>
    <w:rsid w:val="00972177"/>
    <w:rsid w:val="00973DF4"/>
    <w:rsid w:val="00974624"/>
    <w:rsid w:val="00974EE6"/>
    <w:rsid w:val="00975087"/>
    <w:rsid w:val="00975C59"/>
    <w:rsid w:val="00976215"/>
    <w:rsid w:val="00976309"/>
    <w:rsid w:val="009773D6"/>
    <w:rsid w:val="00977491"/>
    <w:rsid w:val="00977C0C"/>
    <w:rsid w:val="00980C2C"/>
    <w:rsid w:val="00982626"/>
    <w:rsid w:val="00983210"/>
    <w:rsid w:val="009833D1"/>
    <w:rsid w:val="0098376A"/>
    <w:rsid w:val="00983F50"/>
    <w:rsid w:val="0098413C"/>
    <w:rsid w:val="0098560B"/>
    <w:rsid w:val="0098605C"/>
    <w:rsid w:val="00987290"/>
    <w:rsid w:val="009872EB"/>
    <w:rsid w:val="009876EE"/>
    <w:rsid w:val="00987AA2"/>
    <w:rsid w:val="00987B8C"/>
    <w:rsid w:val="00987CEE"/>
    <w:rsid w:val="009905DE"/>
    <w:rsid w:val="00990C19"/>
    <w:rsid w:val="00991D80"/>
    <w:rsid w:val="00991EA5"/>
    <w:rsid w:val="009920AC"/>
    <w:rsid w:val="00992863"/>
    <w:rsid w:val="00992B33"/>
    <w:rsid w:val="00992B8E"/>
    <w:rsid w:val="009945E8"/>
    <w:rsid w:val="00994FC7"/>
    <w:rsid w:val="009959BD"/>
    <w:rsid w:val="00996363"/>
    <w:rsid w:val="00997309"/>
    <w:rsid w:val="00997DE4"/>
    <w:rsid w:val="009A0338"/>
    <w:rsid w:val="009A034D"/>
    <w:rsid w:val="009A055F"/>
    <w:rsid w:val="009A0F7D"/>
    <w:rsid w:val="009A1248"/>
    <w:rsid w:val="009A1344"/>
    <w:rsid w:val="009A1365"/>
    <w:rsid w:val="009A14FA"/>
    <w:rsid w:val="009A197F"/>
    <w:rsid w:val="009A20BC"/>
    <w:rsid w:val="009A24FB"/>
    <w:rsid w:val="009A26E1"/>
    <w:rsid w:val="009A28DA"/>
    <w:rsid w:val="009A2CF1"/>
    <w:rsid w:val="009A3C08"/>
    <w:rsid w:val="009A4AA5"/>
    <w:rsid w:val="009A55FF"/>
    <w:rsid w:val="009A57CD"/>
    <w:rsid w:val="009A5D5A"/>
    <w:rsid w:val="009A5DEE"/>
    <w:rsid w:val="009A6277"/>
    <w:rsid w:val="009A6783"/>
    <w:rsid w:val="009A73C8"/>
    <w:rsid w:val="009A76E5"/>
    <w:rsid w:val="009A7AFF"/>
    <w:rsid w:val="009A7D13"/>
    <w:rsid w:val="009B0472"/>
    <w:rsid w:val="009B0DA6"/>
    <w:rsid w:val="009B1362"/>
    <w:rsid w:val="009B15B7"/>
    <w:rsid w:val="009B1A87"/>
    <w:rsid w:val="009B21EE"/>
    <w:rsid w:val="009B2247"/>
    <w:rsid w:val="009B2576"/>
    <w:rsid w:val="009B297F"/>
    <w:rsid w:val="009B31C1"/>
    <w:rsid w:val="009B3D52"/>
    <w:rsid w:val="009B4548"/>
    <w:rsid w:val="009B4699"/>
    <w:rsid w:val="009B4E55"/>
    <w:rsid w:val="009B55EE"/>
    <w:rsid w:val="009B5882"/>
    <w:rsid w:val="009B6452"/>
    <w:rsid w:val="009C0631"/>
    <w:rsid w:val="009C1008"/>
    <w:rsid w:val="009C1809"/>
    <w:rsid w:val="009C1AFF"/>
    <w:rsid w:val="009C218C"/>
    <w:rsid w:val="009C21E3"/>
    <w:rsid w:val="009C222F"/>
    <w:rsid w:val="009C25F1"/>
    <w:rsid w:val="009C2C60"/>
    <w:rsid w:val="009C3B12"/>
    <w:rsid w:val="009C3EC8"/>
    <w:rsid w:val="009C4186"/>
    <w:rsid w:val="009C47F5"/>
    <w:rsid w:val="009C59C1"/>
    <w:rsid w:val="009C6134"/>
    <w:rsid w:val="009C69CD"/>
    <w:rsid w:val="009C6D2B"/>
    <w:rsid w:val="009C7301"/>
    <w:rsid w:val="009C788F"/>
    <w:rsid w:val="009C79AB"/>
    <w:rsid w:val="009C7ACB"/>
    <w:rsid w:val="009C7EF2"/>
    <w:rsid w:val="009D135A"/>
    <w:rsid w:val="009D1A50"/>
    <w:rsid w:val="009D2F15"/>
    <w:rsid w:val="009D321C"/>
    <w:rsid w:val="009D3F25"/>
    <w:rsid w:val="009D4134"/>
    <w:rsid w:val="009D4A53"/>
    <w:rsid w:val="009D4B3F"/>
    <w:rsid w:val="009D500B"/>
    <w:rsid w:val="009D57AF"/>
    <w:rsid w:val="009D5899"/>
    <w:rsid w:val="009D5EFF"/>
    <w:rsid w:val="009D648F"/>
    <w:rsid w:val="009D737C"/>
    <w:rsid w:val="009D7811"/>
    <w:rsid w:val="009D7EC6"/>
    <w:rsid w:val="009E0313"/>
    <w:rsid w:val="009E1E04"/>
    <w:rsid w:val="009E1FF9"/>
    <w:rsid w:val="009E350A"/>
    <w:rsid w:val="009E4179"/>
    <w:rsid w:val="009E4732"/>
    <w:rsid w:val="009E57E8"/>
    <w:rsid w:val="009E59F4"/>
    <w:rsid w:val="009E5D79"/>
    <w:rsid w:val="009E7266"/>
    <w:rsid w:val="009E7B1E"/>
    <w:rsid w:val="009E7D74"/>
    <w:rsid w:val="009F0190"/>
    <w:rsid w:val="009F01B8"/>
    <w:rsid w:val="009F047C"/>
    <w:rsid w:val="009F0B0F"/>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E51"/>
    <w:rsid w:val="00A04494"/>
    <w:rsid w:val="00A0546E"/>
    <w:rsid w:val="00A0551C"/>
    <w:rsid w:val="00A05BB8"/>
    <w:rsid w:val="00A06295"/>
    <w:rsid w:val="00A06427"/>
    <w:rsid w:val="00A076BA"/>
    <w:rsid w:val="00A121A7"/>
    <w:rsid w:val="00A12416"/>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954"/>
    <w:rsid w:val="00A17BA4"/>
    <w:rsid w:val="00A207DC"/>
    <w:rsid w:val="00A20CEB"/>
    <w:rsid w:val="00A21118"/>
    <w:rsid w:val="00A22977"/>
    <w:rsid w:val="00A23A82"/>
    <w:rsid w:val="00A241F9"/>
    <w:rsid w:val="00A24437"/>
    <w:rsid w:val="00A252B6"/>
    <w:rsid w:val="00A2544C"/>
    <w:rsid w:val="00A25FFF"/>
    <w:rsid w:val="00A2607B"/>
    <w:rsid w:val="00A26CCB"/>
    <w:rsid w:val="00A27980"/>
    <w:rsid w:val="00A27A38"/>
    <w:rsid w:val="00A27C3C"/>
    <w:rsid w:val="00A27D03"/>
    <w:rsid w:val="00A27DB4"/>
    <w:rsid w:val="00A30E89"/>
    <w:rsid w:val="00A314A0"/>
    <w:rsid w:val="00A31ADE"/>
    <w:rsid w:val="00A31C7D"/>
    <w:rsid w:val="00A320DB"/>
    <w:rsid w:val="00A3249C"/>
    <w:rsid w:val="00A32A75"/>
    <w:rsid w:val="00A33C93"/>
    <w:rsid w:val="00A3410E"/>
    <w:rsid w:val="00A35ACD"/>
    <w:rsid w:val="00A35AFF"/>
    <w:rsid w:val="00A36A84"/>
    <w:rsid w:val="00A370B4"/>
    <w:rsid w:val="00A37836"/>
    <w:rsid w:val="00A406E6"/>
    <w:rsid w:val="00A41B17"/>
    <w:rsid w:val="00A421B2"/>
    <w:rsid w:val="00A4292D"/>
    <w:rsid w:val="00A42E17"/>
    <w:rsid w:val="00A4329A"/>
    <w:rsid w:val="00A4334A"/>
    <w:rsid w:val="00A43DB0"/>
    <w:rsid w:val="00A43F59"/>
    <w:rsid w:val="00A443E2"/>
    <w:rsid w:val="00A450A0"/>
    <w:rsid w:val="00A45539"/>
    <w:rsid w:val="00A45B2B"/>
    <w:rsid w:val="00A50E22"/>
    <w:rsid w:val="00A5145B"/>
    <w:rsid w:val="00A51586"/>
    <w:rsid w:val="00A52936"/>
    <w:rsid w:val="00A52EE9"/>
    <w:rsid w:val="00A53746"/>
    <w:rsid w:val="00A54141"/>
    <w:rsid w:val="00A541FD"/>
    <w:rsid w:val="00A54811"/>
    <w:rsid w:val="00A54BD8"/>
    <w:rsid w:val="00A54CB9"/>
    <w:rsid w:val="00A551E5"/>
    <w:rsid w:val="00A55987"/>
    <w:rsid w:val="00A560B3"/>
    <w:rsid w:val="00A56340"/>
    <w:rsid w:val="00A57A69"/>
    <w:rsid w:val="00A57F82"/>
    <w:rsid w:val="00A608B7"/>
    <w:rsid w:val="00A60FE1"/>
    <w:rsid w:val="00A6122A"/>
    <w:rsid w:val="00A61836"/>
    <w:rsid w:val="00A61853"/>
    <w:rsid w:val="00A618C6"/>
    <w:rsid w:val="00A62A4D"/>
    <w:rsid w:val="00A62CC5"/>
    <w:rsid w:val="00A6317B"/>
    <w:rsid w:val="00A63184"/>
    <w:rsid w:val="00A63DF1"/>
    <w:rsid w:val="00A64096"/>
    <w:rsid w:val="00A6410C"/>
    <w:rsid w:val="00A6435A"/>
    <w:rsid w:val="00A647CD"/>
    <w:rsid w:val="00A6560B"/>
    <w:rsid w:val="00A65C42"/>
    <w:rsid w:val="00A65EF7"/>
    <w:rsid w:val="00A66396"/>
    <w:rsid w:val="00A671D1"/>
    <w:rsid w:val="00A67879"/>
    <w:rsid w:val="00A67EF5"/>
    <w:rsid w:val="00A7234D"/>
    <w:rsid w:val="00A72E28"/>
    <w:rsid w:val="00A738B1"/>
    <w:rsid w:val="00A74535"/>
    <w:rsid w:val="00A754DD"/>
    <w:rsid w:val="00A75510"/>
    <w:rsid w:val="00A75723"/>
    <w:rsid w:val="00A75E47"/>
    <w:rsid w:val="00A766AD"/>
    <w:rsid w:val="00A76961"/>
    <w:rsid w:val="00A76BFB"/>
    <w:rsid w:val="00A77663"/>
    <w:rsid w:val="00A8122B"/>
    <w:rsid w:val="00A81726"/>
    <w:rsid w:val="00A81A20"/>
    <w:rsid w:val="00A81B8D"/>
    <w:rsid w:val="00A81EC8"/>
    <w:rsid w:val="00A82EDC"/>
    <w:rsid w:val="00A83DDC"/>
    <w:rsid w:val="00A83F37"/>
    <w:rsid w:val="00A84018"/>
    <w:rsid w:val="00A8418F"/>
    <w:rsid w:val="00A84BED"/>
    <w:rsid w:val="00A8536F"/>
    <w:rsid w:val="00A857C4"/>
    <w:rsid w:val="00A85CD9"/>
    <w:rsid w:val="00A85E27"/>
    <w:rsid w:val="00A86D6F"/>
    <w:rsid w:val="00A86E3E"/>
    <w:rsid w:val="00A874D2"/>
    <w:rsid w:val="00A87BAE"/>
    <w:rsid w:val="00A90976"/>
    <w:rsid w:val="00A913A1"/>
    <w:rsid w:val="00A91ACB"/>
    <w:rsid w:val="00A91AF5"/>
    <w:rsid w:val="00A92584"/>
    <w:rsid w:val="00A925A7"/>
    <w:rsid w:val="00A925DB"/>
    <w:rsid w:val="00A93DC6"/>
    <w:rsid w:val="00A94354"/>
    <w:rsid w:val="00A94796"/>
    <w:rsid w:val="00A94CEF"/>
    <w:rsid w:val="00A9501F"/>
    <w:rsid w:val="00A951AC"/>
    <w:rsid w:val="00A951C2"/>
    <w:rsid w:val="00A95452"/>
    <w:rsid w:val="00A95EE0"/>
    <w:rsid w:val="00A96EF6"/>
    <w:rsid w:val="00AA096E"/>
    <w:rsid w:val="00AA1293"/>
    <w:rsid w:val="00AA14C3"/>
    <w:rsid w:val="00AA188D"/>
    <w:rsid w:val="00AA3EDF"/>
    <w:rsid w:val="00AA4220"/>
    <w:rsid w:val="00AA4239"/>
    <w:rsid w:val="00AA4D46"/>
    <w:rsid w:val="00AA54AE"/>
    <w:rsid w:val="00AA5F04"/>
    <w:rsid w:val="00AA6816"/>
    <w:rsid w:val="00AA69E5"/>
    <w:rsid w:val="00AA6D4E"/>
    <w:rsid w:val="00AA75CE"/>
    <w:rsid w:val="00AB023A"/>
    <w:rsid w:val="00AB0C43"/>
    <w:rsid w:val="00AB1082"/>
    <w:rsid w:val="00AB1098"/>
    <w:rsid w:val="00AB173C"/>
    <w:rsid w:val="00AB1B38"/>
    <w:rsid w:val="00AB217D"/>
    <w:rsid w:val="00AB2581"/>
    <w:rsid w:val="00AB2643"/>
    <w:rsid w:val="00AB27C6"/>
    <w:rsid w:val="00AB3031"/>
    <w:rsid w:val="00AB3379"/>
    <w:rsid w:val="00AB3F05"/>
    <w:rsid w:val="00AB4013"/>
    <w:rsid w:val="00AB462F"/>
    <w:rsid w:val="00AB4C0D"/>
    <w:rsid w:val="00AB4DB7"/>
    <w:rsid w:val="00AB557D"/>
    <w:rsid w:val="00AB6477"/>
    <w:rsid w:val="00AB6533"/>
    <w:rsid w:val="00AB689D"/>
    <w:rsid w:val="00AB6EB6"/>
    <w:rsid w:val="00AB7675"/>
    <w:rsid w:val="00AB7E48"/>
    <w:rsid w:val="00AC070D"/>
    <w:rsid w:val="00AC0DE8"/>
    <w:rsid w:val="00AC1A14"/>
    <w:rsid w:val="00AC2A94"/>
    <w:rsid w:val="00AC322C"/>
    <w:rsid w:val="00AC33E2"/>
    <w:rsid w:val="00AC3674"/>
    <w:rsid w:val="00AC3F97"/>
    <w:rsid w:val="00AC4A20"/>
    <w:rsid w:val="00AC4FEA"/>
    <w:rsid w:val="00AC5213"/>
    <w:rsid w:val="00AC53F3"/>
    <w:rsid w:val="00AC584E"/>
    <w:rsid w:val="00AC5B6E"/>
    <w:rsid w:val="00AC5E1A"/>
    <w:rsid w:val="00AC7B80"/>
    <w:rsid w:val="00AD073E"/>
    <w:rsid w:val="00AD0A32"/>
    <w:rsid w:val="00AD1442"/>
    <w:rsid w:val="00AD14AB"/>
    <w:rsid w:val="00AD1B73"/>
    <w:rsid w:val="00AD20ED"/>
    <w:rsid w:val="00AD20FA"/>
    <w:rsid w:val="00AD2F04"/>
    <w:rsid w:val="00AD2FE7"/>
    <w:rsid w:val="00AD30DD"/>
    <w:rsid w:val="00AD3BC2"/>
    <w:rsid w:val="00AD3C4C"/>
    <w:rsid w:val="00AD4264"/>
    <w:rsid w:val="00AD4434"/>
    <w:rsid w:val="00AD5334"/>
    <w:rsid w:val="00AD53AA"/>
    <w:rsid w:val="00AD72BC"/>
    <w:rsid w:val="00AD79BF"/>
    <w:rsid w:val="00AD7C84"/>
    <w:rsid w:val="00AE07E1"/>
    <w:rsid w:val="00AE1D52"/>
    <w:rsid w:val="00AE2133"/>
    <w:rsid w:val="00AE3344"/>
    <w:rsid w:val="00AE43F4"/>
    <w:rsid w:val="00AE5099"/>
    <w:rsid w:val="00AE50D3"/>
    <w:rsid w:val="00AE606A"/>
    <w:rsid w:val="00AE63D5"/>
    <w:rsid w:val="00AF013B"/>
    <w:rsid w:val="00AF0A66"/>
    <w:rsid w:val="00AF0CF8"/>
    <w:rsid w:val="00AF1658"/>
    <w:rsid w:val="00AF262C"/>
    <w:rsid w:val="00AF415A"/>
    <w:rsid w:val="00AF44F2"/>
    <w:rsid w:val="00AF4950"/>
    <w:rsid w:val="00AF53AB"/>
    <w:rsid w:val="00AF53BA"/>
    <w:rsid w:val="00AF64D9"/>
    <w:rsid w:val="00AF69B4"/>
    <w:rsid w:val="00AF717B"/>
    <w:rsid w:val="00B00CD0"/>
    <w:rsid w:val="00B00D77"/>
    <w:rsid w:val="00B01138"/>
    <w:rsid w:val="00B0117B"/>
    <w:rsid w:val="00B011BD"/>
    <w:rsid w:val="00B01283"/>
    <w:rsid w:val="00B0153C"/>
    <w:rsid w:val="00B02A46"/>
    <w:rsid w:val="00B035B9"/>
    <w:rsid w:val="00B03EBB"/>
    <w:rsid w:val="00B04DD4"/>
    <w:rsid w:val="00B05993"/>
    <w:rsid w:val="00B060CD"/>
    <w:rsid w:val="00B0686C"/>
    <w:rsid w:val="00B06E97"/>
    <w:rsid w:val="00B102AD"/>
    <w:rsid w:val="00B10681"/>
    <w:rsid w:val="00B10B50"/>
    <w:rsid w:val="00B1149B"/>
    <w:rsid w:val="00B116D4"/>
    <w:rsid w:val="00B134E7"/>
    <w:rsid w:val="00B13A79"/>
    <w:rsid w:val="00B14FC0"/>
    <w:rsid w:val="00B159F7"/>
    <w:rsid w:val="00B16524"/>
    <w:rsid w:val="00B165E7"/>
    <w:rsid w:val="00B16E86"/>
    <w:rsid w:val="00B170A8"/>
    <w:rsid w:val="00B20364"/>
    <w:rsid w:val="00B20E6F"/>
    <w:rsid w:val="00B211F2"/>
    <w:rsid w:val="00B2130C"/>
    <w:rsid w:val="00B215D0"/>
    <w:rsid w:val="00B21EDE"/>
    <w:rsid w:val="00B2244B"/>
    <w:rsid w:val="00B226A9"/>
    <w:rsid w:val="00B2300D"/>
    <w:rsid w:val="00B230F6"/>
    <w:rsid w:val="00B23139"/>
    <w:rsid w:val="00B232D6"/>
    <w:rsid w:val="00B23539"/>
    <w:rsid w:val="00B23551"/>
    <w:rsid w:val="00B24DC8"/>
    <w:rsid w:val="00B25335"/>
    <w:rsid w:val="00B25CBD"/>
    <w:rsid w:val="00B26391"/>
    <w:rsid w:val="00B26A06"/>
    <w:rsid w:val="00B27AD5"/>
    <w:rsid w:val="00B27F3D"/>
    <w:rsid w:val="00B30E74"/>
    <w:rsid w:val="00B3108F"/>
    <w:rsid w:val="00B3114E"/>
    <w:rsid w:val="00B3148D"/>
    <w:rsid w:val="00B31CC5"/>
    <w:rsid w:val="00B33D79"/>
    <w:rsid w:val="00B33F59"/>
    <w:rsid w:val="00B34483"/>
    <w:rsid w:val="00B34DAE"/>
    <w:rsid w:val="00B358BB"/>
    <w:rsid w:val="00B365CA"/>
    <w:rsid w:val="00B36CA1"/>
    <w:rsid w:val="00B3737F"/>
    <w:rsid w:val="00B40514"/>
    <w:rsid w:val="00B41534"/>
    <w:rsid w:val="00B4154B"/>
    <w:rsid w:val="00B41784"/>
    <w:rsid w:val="00B41BEE"/>
    <w:rsid w:val="00B42E68"/>
    <w:rsid w:val="00B43462"/>
    <w:rsid w:val="00B43910"/>
    <w:rsid w:val="00B4420E"/>
    <w:rsid w:val="00B45669"/>
    <w:rsid w:val="00B46554"/>
    <w:rsid w:val="00B466F0"/>
    <w:rsid w:val="00B467BB"/>
    <w:rsid w:val="00B47E3B"/>
    <w:rsid w:val="00B50892"/>
    <w:rsid w:val="00B509D4"/>
    <w:rsid w:val="00B51057"/>
    <w:rsid w:val="00B511ED"/>
    <w:rsid w:val="00B51602"/>
    <w:rsid w:val="00B51F21"/>
    <w:rsid w:val="00B52273"/>
    <w:rsid w:val="00B52540"/>
    <w:rsid w:val="00B53C34"/>
    <w:rsid w:val="00B53F0D"/>
    <w:rsid w:val="00B54811"/>
    <w:rsid w:val="00B5657A"/>
    <w:rsid w:val="00B56B84"/>
    <w:rsid w:val="00B57961"/>
    <w:rsid w:val="00B57C56"/>
    <w:rsid w:val="00B61614"/>
    <w:rsid w:val="00B61672"/>
    <w:rsid w:val="00B61B8F"/>
    <w:rsid w:val="00B62488"/>
    <w:rsid w:val="00B628A4"/>
    <w:rsid w:val="00B62D2F"/>
    <w:rsid w:val="00B64774"/>
    <w:rsid w:val="00B64E06"/>
    <w:rsid w:val="00B65CB5"/>
    <w:rsid w:val="00B65D4A"/>
    <w:rsid w:val="00B668FC"/>
    <w:rsid w:val="00B66B65"/>
    <w:rsid w:val="00B67E57"/>
    <w:rsid w:val="00B70EBF"/>
    <w:rsid w:val="00B70EF2"/>
    <w:rsid w:val="00B70F06"/>
    <w:rsid w:val="00B7145B"/>
    <w:rsid w:val="00B71881"/>
    <w:rsid w:val="00B72FA4"/>
    <w:rsid w:val="00B7374F"/>
    <w:rsid w:val="00B74500"/>
    <w:rsid w:val="00B74AFB"/>
    <w:rsid w:val="00B7547E"/>
    <w:rsid w:val="00B754EA"/>
    <w:rsid w:val="00B75A04"/>
    <w:rsid w:val="00B7605A"/>
    <w:rsid w:val="00B768AD"/>
    <w:rsid w:val="00B76D77"/>
    <w:rsid w:val="00B7702D"/>
    <w:rsid w:val="00B774E3"/>
    <w:rsid w:val="00B7761D"/>
    <w:rsid w:val="00B778C6"/>
    <w:rsid w:val="00B77BCD"/>
    <w:rsid w:val="00B77E2A"/>
    <w:rsid w:val="00B80BF0"/>
    <w:rsid w:val="00B80E48"/>
    <w:rsid w:val="00B810CD"/>
    <w:rsid w:val="00B81196"/>
    <w:rsid w:val="00B81393"/>
    <w:rsid w:val="00B81607"/>
    <w:rsid w:val="00B81787"/>
    <w:rsid w:val="00B8280A"/>
    <w:rsid w:val="00B83280"/>
    <w:rsid w:val="00B83638"/>
    <w:rsid w:val="00B839BC"/>
    <w:rsid w:val="00B84738"/>
    <w:rsid w:val="00B84B83"/>
    <w:rsid w:val="00B85087"/>
    <w:rsid w:val="00B853F9"/>
    <w:rsid w:val="00B860D7"/>
    <w:rsid w:val="00B868DC"/>
    <w:rsid w:val="00B92342"/>
    <w:rsid w:val="00B92412"/>
    <w:rsid w:val="00B92971"/>
    <w:rsid w:val="00B92D1A"/>
    <w:rsid w:val="00B93445"/>
    <w:rsid w:val="00B939A1"/>
    <w:rsid w:val="00B93B87"/>
    <w:rsid w:val="00B9431E"/>
    <w:rsid w:val="00B9465D"/>
    <w:rsid w:val="00B9473D"/>
    <w:rsid w:val="00B94881"/>
    <w:rsid w:val="00B9517B"/>
    <w:rsid w:val="00B95517"/>
    <w:rsid w:val="00B95C12"/>
    <w:rsid w:val="00B95EE6"/>
    <w:rsid w:val="00B961F1"/>
    <w:rsid w:val="00B96885"/>
    <w:rsid w:val="00B96B97"/>
    <w:rsid w:val="00B96C4E"/>
    <w:rsid w:val="00B973E7"/>
    <w:rsid w:val="00B979CC"/>
    <w:rsid w:val="00B97B62"/>
    <w:rsid w:val="00B97C50"/>
    <w:rsid w:val="00BA0024"/>
    <w:rsid w:val="00BA0AC7"/>
    <w:rsid w:val="00BA1434"/>
    <w:rsid w:val="00BA3212"/>
    <w:rsid w:val="00BA3B4B"/>
    <w:rsid w:val="00BA40BE"/>
    <w:rsid w:val="00BA4564"/>
    <w:rsid w:val="00BA467B"/>
    <w:rsid w:val="00BA4D41"/>
    <w:rsid w:val="00BA58BB"/>
    <w:rsid w:val="00BA67FC"/>
    <w:rsid w:val="00BA6B8E"/>
    <w:rsid w:val="00BA7285"/>
    <w:rsid w:val="00BA7BE8"/>
    <w:rsid w:val="00BB08F7"/>
    <w:rsid w:val="00BB0BA7"/>
    <w:rsid w:val="00BB0CA1"/>
    <w:rsid w:val="00BB133D"/>
    <w:rsid w:val="00BB1924"/>
    <w:rsid w:val="00BB26EB"/>
    <w:rsid w:val="00BB2C15"/>
    <w:rsid w:val="00BB3C8A"/>
    <w:rsid w:val="00BB4049"/>
    <w:rsid w:val="00BB5E0A"/>
    <w:rsid w:val="00BB7AF7"/>
    <w:rsid w:val="00BC00C1"/>
    <w:rsid w:val="00BC0230"/>
    <w:rsid w:val="00BC02CD"/>
    <w:rsid w:val="00BC0688"/>
    <w:rsid w:val="00BC1478"/>
    <w:rsid w:val="00BC1BFE"/>
    <w:rsid w:val="00BC2264"/>
    <w:rsid w:val="00BC2C3A"/>
    <w:rsid w:val="00BC3CE2"/>
    <w:rsid w:val="00BC3E3B"/>
    <w:rsid w:val="00BC52DE"/>
    <w:rsid w:val="00BC69C6"/>
    <w:rsid w:val="00BC7775"/>
    <w:rsid w:val="00BC7956"/>
    <w:rsid w:val="00BD02E6"/>
    <w:rsid w:val="00BD065D"/>
    <w:rsid w:val="00BD0CF8"/>
    <w:rsid w:val="00BD0DDA"/>
    <w:rsid w:val="00BD1469"/>
    <w:rsid w:val="00BD154F"/>
    <w:rsid w:val="00BD1FF6"/>
    <w:rsid w:val="00BD2256"/>
    <w:rsid w:val="00BD24B6"/>
    <w:rsid w:val="00BD26AD"/>
    <w:rsid w:val="00BD3080"/>
    <w:rsid w:val="00BD3124"/>
    <w:rsid w:val="00BD316A"/>
    <w:rsid w:val="00BD33EC"/>
    <w:rsid w:val="00BD3A94"/>
    <w:rsid w:val="00BD43BD"/>
    <w:rsid w:val="00BD4CF5"/>
    <w:rsid w:val="00BD5C38"/>
    <w:rsid w:val="00BD6C08"/>
    <w:rsid w:val="00BD72A6"/>
    <w:rsid w:val="00BD762F"/>
    <w:rsid w:val="00BD7D70"/>
    <w:rsid w:val="00BE09C7"/>
    <w:rsid w:val="00BE12EF"/>
    <w:rsid w:val="00BE1BBB"/>
    <w:rsid w:val="00BE22E8"/>
    <w:rsid w:val="00BE2ACB"/>
    <w:rsid w:val="00BE3013"/>
    <w:rsid w:val="00BE32AC"/>
    <w:rsid w:val="00BE367D"/>
    <w:rsid w:val="00BE3CB6"/>
    <w:rsid w:val="00BE4035"/>
    <w:rsid w:val="00BE4239"/>
    <w:rsid w:val="00BE4A58"/>
    <w:rsid w:val="00BE4B70"/>
    <w:rsid w:val="00BE4C67"/>
    <w:rsid w:val="00BE5120"/>
    <w:rsid w:val="00BE5756"/>
    <w:rsid w:val="00BE576D"/>
    <w:rsid w:val="00BE64BF"/>
    <w:rsid w:val="00BE654A"/>
    <w:rsid w:val="00BE6653"/>
    <w:rsid w:val="00BE7B46"/>
    <w:rsid w:val="00BE7D9A"/>
    <w:rsid w:val="00BF02D4"/>
    <w:rsid w:val="00BF0724"/>
    <w:rsid w:val="00BF15B9"/>
    <w:rsid w:val="00BF1896"/>
    <w:rsid w:val="00BF324E"/>
    <w:rsid w:val="00BF329F"/>
    <w:rsid w:val="00BF3693"/>
    <w:rsid w:val="00BF4674"/>
    <w:rsid w:val="00BF47B7"/>
    <w:rsid w:val="00BF5020"/>
    <w:rsid w:val="00BF55BA"/>
    <w:rsid w:val="00BF58F2"/>
    <w:rsid w:val="00BF590D"/>
    <w:rsid w:val="00BF5981"/>
    <w:rsid w:val="00BF6637"/>
    <w:rsid w:val="00BF756C"/>
    <w:rsid w:val="00C024DF"/>
    <w:rsid w:val="00C028F9"/>
    <w:rsid w:val="00C0308D"/>
    <w:rsid w:val="00C035A7"/>
    <w:rsid w:val="00C0387C"/>
    <w:rsid w:val="00C04A2A"/>
    <w:rsid w:val="00C04FA3"/>
    <w:rsid w:val="00C051F1"/>
    <w:rsid w:val="00C05216"/>
    <w:rsid w:val="00C05754"/>
    <w:rsid w:val="00C0586E"/>
    <w:rsid w:val="00C05C1A"/>
    <w:rsid w:val="00C05F6F"/>
    <w:rsid w:val="00C06021"/>
    <w:rsid w:val="00C06091"/>
    <w:rsid w:val="00C068B6"/>
    <w:rsid w:val="00C077A9"/>
    <w:rsid w:val="00C10C63"/>
    <w:rsid w:val="00C10D34"/>
    <w:rsid w:val="00C11612"/>
    <w:rsid w:val="00C11B8C"/>
    <w:rsid w:val="00C12101"/>
    <w:rsid w:val="00C1230F"/>
    <w:rsid w:val="00C12EC3"/>
    <w:rsid w:val="00C137E0"/>
    <w:rsid w:val="00C13810"/>
    <w:rsid w:val="00C13934"/>
    <w:rsid w:val="00C13B21"/>
    <w:rsid w:val="00C14234"/>
    <w:rsid w:val="00C14C9F"/>
    <w:rsid w:val="00C155CC"/>
    <w:rsid w:val="00C15941"/>
    <w:rsid w:val="00C160D1"/>
    <w:rsid w:val="00C168BD"/>
    <w:rsid w:val="00C16E20"/>
    <w:rsid w:val="00C170CD"/>
    <w:rsid w:val="00C2047B"/>
    <w:rsid w:val="00C20A4F"/>
    <w:rsid w:val="00C212A5"/>
    <w:rsid w:val="00C21801"/>
    <w:rsid w:val="00C21EE3"/>
    <w:rsid w:val="00C2304D"/>
    <w:rsid w:val="00C236EB"/>
    <w:rsid w:val="00C23BE9"/>
    <w:rsid w:val="00C24016"/>
    <w:rsid w:val="00C24904"/>
    <w:rsid w:val="00C2541E"/>
    <w:rsid w:val="00C25F86"/>
    <w:rsid w:val="00C2649C"/>
    <w:rsid w:val="00C26623"/>
    <w:rsid w:val="00C26685"/>
    <w:rsid w:val="00C26D74"/>
    <w:rsid w:val="00C30824"/>
    <w:rsid w:val="00C30F87"/>
    <w:rsid w:val="00C31BF8"/>
    <w:rsid w:val="00C3273C"/>
    <w:rsid w:val="00C32EC2"/>
    <w:rsid w:val="00C3307F"/>
    <w:rsid w:val="00C3319F"/>
    <w:rsid w:val="00C33F77"/>
    <w:rsid w:val="00C348FF"/>
    <w:rsid w:val="00C34CC3"/>
    <w:rsid w:val="00C34F30"/>
    <w:rsid w:val="00C363E7"/>
    <w:rsid w:val="00C3640A"/>
    <w:rsid w:val="00C36F96"/>
    <w:rsid w:val="00C3796D"/>
    <w:rsid w:val="00C4057F"/>
    <w:rsid w:val="00C40753"/>
    <w:rsid w:val="00C40815"/>
    <w:rsid w:val="00C40B89"/>
    <w:rsid w:val="00C40B90"/>
    <w:rsid w:val="00C41BEB"/>
    <w:rsid w:val="00C427A2"/>
    <w:rsid w:val="00C42E64"/>
    <w:rsid w:val="00C42FF6"/>
    <w:rsid w:val="00C43C61"/>
    <w:rsid w:val="00C441C2"/>
    <w:rsid w:val="00C4421D"/>
    <w:rsid w:val="00C443F5"/>
    <w:rsid w:val="00C47B24"/>
    <w:rsid w:val="00C50040"/>
    <w:rsid w:val="00C507A3"/>
    <w:rsid w:val="00C5183A"/>
    <w:rsid w:val="00C51B9C"/>
    <w:rsid w:val="00C51BEC"/>
    <w:rsid w:val="00C521AE"/>
    <w:rsid w:val="00C52B13"/>
    <w:rsid w:val="00C54A87"/>
    <w:rsid w:val="00C55428"/>
    <w:rsid w:val="00C55DE1"/>
    <w:rsid w:val="00C56679"/>
    <w:rsid w:val="00C56A7A"/>
    <w:rsid w:val="00C56BC5"/>
    <w:rsid w:val="00C56DB7"/>
    <w:rsid w:val="00C572FF"/>
    <w:rsid w:val="00C57991"/>
    <w:rsid w:val="00C60B64"/>
    <w:rsid w:val="00C60D23"/>
    <w:rsid w:val="00C615B8"/>
    <w:rsid w:val="00C61AFD"/>
    <w:rsid w:val="00C62D67"/>
    <w:rsid w:val="00C6356B"/>
    <w:rsid w:val="00C652E2"/>
    <w:rsid w:val="00C653FB"/>
    <w:rsid w:val="00C656E5"/>
    <w:rsid w:val="00C65CBF"/>
    <w:rsid w:val="00C66375"/>
    <w:rsid w:val="00C667D0"/>
    <w:rsid w:val="00C66AD7"/>
    <w:rsid w:val="00C66CDE"/>
    <w:rsid w:val="00C66D7C"/>
    <w:rsid w:val="00C66E3C"/>
    <w:rsid w:val="00C67EA5"/>
    <w:rsid w:val="00C70107"/>
    <w:rsid w:val="00C70449"/>
    <w:rsid w:val="00C70759"/>
    <w:rsid w:val="00C70E36"/>
    <w:rsid w:val="00C71279"/>
    <w:rsid w:val="00C71351"/>
    <w:rsid w:val="00C71A08"/>
    <w:rsid w:val="00C723C0"/>
    <w:rsid w:val="00C72625"/>
    <w:rsid w:val="00C7271D"/>
    <w:rsid w:val="00C72B6C"/>
    <w:rsid w:val="00C7375A"/>
    <w:rsid w:val="00C73FAB"/>
    <w:rsid w:val="00C74CF6"/>
    <w:rsid w:val="00C75A01"/>
    <w:rsid w:val="00C75BCA"/>
    <w:rsid w:val="00C75C66"/>
    <w:rsid w:val="00C75DB6"/>
    <w:rsid w:val="00C76E04"/>
    <w:rsid w:val="00C76FB0"/>
    <w:rsid w:val="00C77D93"/>
    <w:rsid w:val="00C80E58"/>
    <w:rsid w:val="00C81278"/>
    <w:rsid w:val="00C81A2C"/>
    <w:rsid w:val="00C8285E"/>
    <w:rsid w:val="00C82F2D"/>
    <w:rsid w:val="00C83260"/>
    <w:rsid w:val="00C836F0"/>
    <w:rsid w:val="00C8398B"/>
    <w:rsid w:val="00C84318"/>
    <w:rsid w:val="00C856BE"/>
    <w:rsid w:val="00C85F2C"/>
    <w:rsid w:val="00C8734C"/>
    <w:rsid w:val="00C87A9E"/>
    <w:rsid w:val="00C904E4"/>
    <w:rsid w:val="00C91633"/>
    <w:rsid w:val="00C935B7"/>
    <w:rsid w:val="00C9382C"/>
    <w:rsid w:val="00C94BAE"/>
    <w:rsid w:val="00C94C71"/>
    <w:rsid w:val="00C94F15"/>
    <w:rsid w:val="00C954BD"/>
    <w:rsid w:val="00C95615"/>
    <w:rsid w:val="00C97517"/>
    <w:rsid w:val="00C97CC0"/>
    <w:rsid w:val="00C97D75"/>
    <w:rsid w:val="00CA0261"/>
    <w:rsid w:val="00CA04BA"/>
    <w:rsid w:val="00CA136D"/>
    <w:rsid w:val="00CA147B"/>
    <w:rsid w:val="00CA2400"/>
    <w:rsid w:val="00CA24A1"/>
    <w:rsid w:val="00CA2AC9"/>
    <w:rsid w:val="00CA2D7A"/>
    <w:rsid w:val="00CA3CDB"/>
    <w:rsid w:val="00CA47F5"/>
    <w:rsid w:val="00CA4CA2"/>
    <w:rsid w:val="00CA513D"/>
    <w:rsid w:val="00CA5368"/>
    <w:rsid w:val="00CA6310"/>
    <w:rsid w:val="00CB0113"/>
    <w:rsid w:val="00CB058C"/>
    <w:rsid w:val="00CB0939"/>
    <w:rsid w:val="00CB0BE4"/>
    <w:rsid w:val="00CB121D"/>
    <w:rsid w:val="00CB146E"/>
    <w:rsid w:val="00CB14A4"/>
    <w:rsid w:val="00CB2CCA"/>
    <w:rsid w:val="00CB30D0"/>
    <w:rsid w:val="00CB37A5"/>
    <w:rsid w:val="00CB3C01"/>
    <w:rsid w:val="00CB3EBC"/>
    <w:rsid w:val="00CB44B7"/>
    <w:rsid w:val="00CB493B"/>
    <w:rsid w:val="00CB4EC9"/>
    <w:rsid w:val="00CB5187"/>
    <w:rsid w:val="00CB570A"/>
    <w:rsid w:val="00CB679C"/>
    <w:rsid w:val="00CB6A84"/>
    <w:rsid w:val="00CB6A85"/>
    <w:rsid w:val="00CB7121"/>
    <w:rsid w:val="00CB7364"/>
    <w:rsid w:val="00CB7C4A"/>
    <w:rsid w:val="00CB7ECC"/>
    <w:rsid w:val="00CC00DA"/>
    <w:rsid w:val="00CC0B1E"/>
    <w:rsid w:val="00CC0C76"/>
    <w:rsid w:val="00CC1475"/>
    <w:rsid w:val="00CC1DED"/>
    <w:rsid w:val="00CC319E"/>
    <w:rsid w:val="00CC336D"/>
    <w:rsid w:val="00CC340A"/>
    <w:rsid w:val="00CC36E9"/>
    <w:rsid w:val="00CC5AA0"/>
    <w:rsid w:val="00CC669A"/>
    <w:rsid w:val="00CC75B6"/>
    <w:rsid w:val="00CC779B"/>
    <w:rsid w:val="00CD28B2"/>
    <w:rsid w:val="00CD2DD0"/>
    <w:rsid w:val="00CD33EE"/>
    <w:rsid w:val="00CD3776"/>
    <w:rsid w:val="00CD4D65"/>
    <w:rsid w:val="00CD55B1"/>
    <w:rsid w:val="00CD5680"/>
    <w:rsid w:val="00CD648D"/>
    <w:rsid w:val="00CD6B80"/>
    <w:rsid w:val="00CD7616"/>
    <w:rsid w:val="00CD775A"/>
    <w:rsid w:val="00CE01B5"/>
    <w:rsid w:val="00CE021F"/>
    <w:rsid w:val="00CE0B98"/>
    <w:rsid w:val="00CE2312"/>
    <w:rsid w:val="00CE336E"/>
    <w:rsid w:val="00CE374F"/>
    <w:rsid w:val="00CE384F"/>
    <w:rsid w:val="00CE3CDF"/>
    <w:rsid w:val="00CE3D08"/>
    <w:rsid w:val="00CE3E07"/>
    <w:rsid w:val="00CE3FEE"/>
    <w:rsid w:val="00CE455E"/>
    <w:rsid w:val="00CE68A3"/>
    <w:rsid w:val="00CE79A8"/>
    <w:rsid w:val="00CE7E34"/>
    <w:rsid w:val="00CF0639"/>
    <w:rsid w:val="00CF0AE5"/>
    <w:rsid w:val="00CF14A0"/>
    <w:rsid w:val="00CF19DF"/>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26D"/>
    <w:rsid w:val="00D005B4"/>
    <w:rsid w:val="00D00784"/>
    <w:rsid w:val="00D00BC5"/>
    <w:rsid w:val="00D019EA"/>
    <w:rsid w:val="00D01AD1"/>
    <w:rsid w:val="00D02277"/>
    <w:rsid w:val="00D022F4"/>
    <w:rsid w:val="00D02BB4"/>
    <w:rsid w:val="00D03128"/>
    <w:rsid w:val="00D03153"/>
    <w:rsid w:val="00D033C8"/>
    <w:rsid w:val="00D03957"/>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9FA"/>
    <w:rsid w:val="00D1157A"/>
    <w:rsid w:val="00D11712"/>
    <w:rsid w:val="00D11EC0"/>
    <w:rsid w:val="00D120D2"/>
    <w:rsid w:val="00D1301C"/>
    <w:rsid w:val="00D131D1"/>
    <w:rsid w:val="00D13294"/>
    <w:rsid w:val="00D13CB3"/>
    <w:rsid w:val="00D14D12"/>
    <w:rsid w:val="00D14EF2"/>
    <w:rsid w:val="00D15411"/>
    <w:rsid w:val="00D171C8"/>
    <w:rsid w:val="00D17C55"/>
    <w:rsid w:val="00D20137"/>
    <w:rsid w:val="00D208E6"/>
    <w:rsid w:val="00D21A55"/>
    <w:rsid w:val="00D22651"/>
    <w:rsid w:val="00D23AD0"/>
    <w:rsid w:val="00D23B0A"/>
    <w:rsid w:val="00D24239"/>
    <w:rsid w:val="00D24BAF"/>
    <w:rsid w:val="00D24C26"/>
    <w:rsid w:val="00D255C6"/>
    <w:rsid w:val="00D2620A"/>
    <w:rsid w:val="00D27091"/>
    <w:rsid w:val="00D277EE"/>
    <w:rsid w:val="00D309DD"/>
    <w:rsid w:val="00D30C66"/>
    <w:rsid w:val="00D31163"/>
    <w:rsid w:val="00D31D60"/>
    <w:rsid w:val="00D3238A"/>
    <w:rsid w:val="00D3330C"/>
    <w:rsid w:val="00D3330E"/>
    <w:rsid w:val="00D3349D"/>
    <w:rsid w:val="00D33682"/>
    <w:rsid w:val="00D34598"/>
    <w:rsid w:val="00D3511A"/>
    <w:rsid w:val="00D35F28"/>
    <w:rsid w:val="00D3672A"/>
    <w:rsid w:val="00D368A2"/>
    <w:rsid w:val="00D368FF"/>
    <w:rsid w:val="00D36D8E"/>
    <w:rsid w:val="00D374D1"/>
    <w:rsid w:val="00D37596"/>
    <w:rsid w:val="00D37899"/>
    <w:rsid w:val="00D37FCE"/>
    <w:rsid w:val="00D40238"/>
    <w:rsid w:val="00D40D79"/>
    <w:rsid w:val="00D4117C"/>
    <w:rsid w:val="00D41258"/>
    <w:rsid w:val="00D43430"/>
    <w:rsid w:val="00D439C3"/>
    <w:rsid w:val="00D449C6"/>
    <w:rsid w:val="00D44A3B"/>
    <w:rsid w:val="00D451A0"/>
    <w:rsid w:val="00D451C2"/>
    <w:rsid w:val="00D45385"/>
    <w:rsid w:val="00D45C34"/>
    <w:rsid w:val="00D4777F"/>
    <w:rsid w:val="00D478D3"/>
    <w:rsid w:val="00D5062B"/>
    <w:rsid w:val="00D50B46"/>
    <w:rsid w:val="00D50B72"/>
    <w:rsid w:val="00D51867"/>
    <w:rsid w:val="00D51AD4"/>
    <w:rsid w:val="00D52DBB"/>
    <w:rsid w:val="00D531B6"/>
    <w:rsid w:val="00D54B76"/>
    <w:rsid w:val="00D54E08"/>
    <w:rsid w:val="00D5508A"/>
    <w:rsid w:val="00D55828"/>
    <w:rsid w:val="00D55C1D"/>
    <w:rsid w:val="00D55FD4"/>
    <w:rsid w:val="00D56305"/>
    <w:rsid w:val="00D566F1"/>
    <w:rsid w:val="00D57388"/>
    <w:rsid w:val="00D5765B"/>
    <w:rsid w:val="00D61A0D"/>
    <w:rsid w:val="00D63F0E"/>
    <w:rsid w:val="00D63F45"/>
    <w:rsid w:val="00D64048"/>
    <w:rsid w:val="00D645A6"/>
    <w:rsid w:val="00D64E9D"/>
    <w:rsid w:val="00D65A11"/>
    <w:rsid w:val="00D65B91"/>
    <w:rsid w:val="00D66659"/>
    <w:rsid w:val="00D66CD5"/>
    <w:rsid w:val="00D6707F"/>
    <w:rsid w:val="00D67145"/>
    <w:rsid w:val="00D70FF2"/>
    <w:rsid w:val="00D7160F"/>
    <w:rsid w:val="00D7197E"/>
    <w:rsid w:val="00D71EB9"/>
    <w:rsid w:val="00D726FD"/>
    <w:rsid w:val="00D72C26"/>
    <w:rsid w:val="00D73288"/>
    <w:rsid w:val="00D73686"/>
    <w:rsid w:val="00D7371E"/>
    <w:rsid w:val="00D741DB"/>
    <w:rsid w:val="00D742A0"/>
    <w:rsid w:val="00D74E88"/>
    <w:rsid w:val="00D75216"/>
    <w:rsid w:val="00D756A7"/>
    <w:rsid w:val="00D75D33"/>
    <w:rsid w:val="00D75E56"/>
    <w:rsid w:val="00D763AE"/>
    <w:rsid w:val="00D76CD8"/>
    <w:rsid w:val="00D77919"/>
    <w:rsid w:val="00D779D4"/>
    <w:rsid w:val="00D8158C"/>
    <w:rsid w:val="00D81ED6"/>
    <w:rsid w:val="00D82533"/>
    <w:rsid w:val="00D8359E"/>
    <w:rsid w:val="00D8512B"/>
    <w:rsid w:val="00D852FD"/>
    <w:rsid w:val="00D857FE"/>
    <w:rsid w:val="00D86F69"/>
    <w:rsid w:val="00D86F82"/>
    <w:rsid w:val="00D87458"/>
    <w:rsid w:val="00D87A74"/>
    <w:rsid w:val="00D901F7"/>
    <w:rsid w:val="00D90311"/>
    <w:rsid w:val="00D907F2"/>
    <w:rsid w:val="00D913F3"/>
    <w:rsid w:val="00D915FF"/>
    <w:rsid w:val="00D91CC6"/>
    <w:rsid w:val="00D92BBF"/>
    <w:rsid w:val="00D933F6"/>
    <w:rsid w:val="00D93F68"/>
    <w:rsid w:val="00D94010"/>
    <w:rsid w:val="00D948C4"/>
    <w:rsid w:val="00D94E85"/>
    <w:rsid w:val="00D962CF"/>
    <w:rsid w:val="00D9652E"/>
    <w:rsid w:val="00D96531"/>
    <w:rsid w:val="00D97693"/>
    <w:rsid w:val="00DA0A11"/>
    <w:rsid w:val="00DA130C"/>
    <w:rsid w:val="00DA26B3"/>
    <w:rsid w:val="00DA2FCF"/>
    <w:rsid w:val="00DA3113"/>
    <w:rsid w:val="00DA3199"/>
    <w:rsid w:val="00DA38EC"/>
    <w:rsid w:val="00DA3AAC"/>
    <w:rsid w:val="00DA43EB"/>
    <w:rsid w:val="00DA445E"/>
    <w:rsid w:val="00DA465F"/>
    <w:rsid w:val="00DA4823"/>
    <w:rsid w:val="00DA4E2E"/>
    <w:rsid w:val="00DA4E74"/>
    <w:rsid w:val="00DA518C"/>
    <w:rsid w:val="00DA542C"/>
    <w:rsid w:val="00DA5A21"/>
    <w:rsid w:val="00DA5B16"/>
    <w:rsid w:val="00DA6B9A"/>
    <w:rsid w:val="00DA6CF1"/>
    <w:rsid w:val="00DA77DE"/>
    <w:rsid w:val="00DB2AEF"/>
    <w:rsid w:val="00DB2B51"/>
    <w:rsid w:val="00DB341C"/>
    <w:rsid w:val="00DB382B"/>
    <w:rsid w:val="00DB4525"/>
    <w:rsid w:val="00DB47A5"/>
    <w:rsid w:val="00DB4D17"/>
    <w:rsid w:val="00DB6DD3"/>
    <w:rsid w:val="00DB79CB"/>
    <w:rsid w:val="00DB7CED"/>
    <w:rsid w:val="00DC02F7"/>
    <w:rsid w:val="00DC09FC"/>
    <w:rsid w:val="00DC102C"/>
    <w:rsid w:val="00DC1E1B"/>
    <w:rsid w:val="00DC1EC8"/>
    <w:rsid w:val="00DC2E18"/>
    <w:rsid w:val="00DC30FE"/>
    <w:rsid w:val="00DC3512"/>
    <w:rsid w:val="00DC385E"/>
    <w:rsid w:val="00DC3EC8"/>
    <w:rsid w:val="00DC4068"/>
    <w:rsid w:val="00DC4145"/>
    <w:rsid w:val="00DC493B"/>
    <w:rsid w:val="00DC759F"/>
    <w:rsid w:val="00DD0B51"/>
    <w:rsid w:val="00DD0BE6"/>
    <w:rsid w:val="00DD1707"/>
    <w:rsid w:val="00DD1963"/>
    <w:rsid w:val="00DD1C59"/>
    <w:rsid w:val="00DD3272"/>
    <w:rsid w:val="00DD3467"/>
    <w:rsid w:val="00DD45B5"/>
    <w:rsid w:val="00DD474F"/>
    <w:rsid w:val="00DD4A1A"/>
    <w:rsid w:val="00DD52FC"/>
    <w:rsid w:val="00DD5C3A"/>
    <w:rsid w:val="00DD5C56"/>
    <w:rsid w:val="00DD64C8"/>
    <w:rsid w:val="00DD674D"/>
    <w:rsid w:val="00DD701C"/>
    <w:rsid w:val="00DD7DA4"/>
    <w:rsid w:val="00DE0CC3"/>
    <w:rsid w:val="00DE0F83"/>
    <w:rsid w:val="00DE2C73"/>
    <w:rsid w:val="00DE3136"/>
    <w:rsid w:val="00DE39F4"/>
    <w:rsid w:val="00DE3A27"/>
    <w:rsid w:val="00DE4EA8"/>
    <w:rsid w:val="00DE50FD"/>
    <w:rsid w:val="00DE587D"/>
    <w:rsid w:val="00DE60A3"/>
    <w:rsid w:val="00DE6805"/>
    <w:rsid w:val="00DE7807"/>
    <w:rsid w:val="00DF0D0A"/>
    <w:rsid w:val="00DF1211"/>
    <w:rsid w:val="00DF1385"/>
    <w:rsid w:val="00DF1FB9"/>
    <w:rsid w:val="00DF2469"/>
    <w:rsid w:val="00DF2EB3"/>
    <w:rsid w:val="00DF316E"/>
    <w:rsid w:val="00DF58E5"/>
    <w:rsid w:val="00DF5BC6"/>
    <w:rsid w:val="00DF6527"/>
    <w:rsid w:val="00DF79E1"/>
    <w:rsid w:val="00DF7E57"/>
    <w:rsid w:val="00E000D0"/>
    <w:rsid w:val="00E00F2E"/>
    <w:rsid w:val="00E01525"/>
    <w:rsid w:val="00E0160E"/>
    <w:rsid w:val="00E0186E"/>
    <w:rsid w:val="00E01FE1"/>
    <w:rsid w:val="00E024B2"/>
    <w:rsid w:val="00E025CC"/>
    <w:rsid w:val="00E02FCC"/>
    <w:rsid w:val="00E03063"/>
    <w:rsid w:val="00E036B3"/>
    <w:rsid w:val="00E044C5"/>
    <w:rsid w:val="00E051B1"/>
    <w:rsid w:val="00E057EA"/>
    <w:rsid w:val="00E05E00"/>
    <w:rsid w:val="00E06FAA"/>
    <w:rsid w:val="00E07AA2"/>
    <w:rsid w:val="00E1015B"/>
    <w:rsid w:val="00E106AE"/>
    <w:rsid w:val="00E10723"/>
    <w:rsid w:val="00E11236"/>
    <w:rsid w:val="00E1164D"/>
    <w:rsid w:val="00E11A5C"/>
    <w:rsid w:val="00E1223A"/>
    <w:rsid w:val="00E122A9"/>
    <w:rsid w:val="00E12447"/>
    <w:rsid w:val="00E12ABE"/>
    <w:rsid w:val="00E1415F"/>
    <w:rsid w:val="00E15141"/>
    <w:rsid w:val="00E15683"/>
    <w:rsid w:val="00E1603D"/>
    <w:rsid w:val="00E163D8"/>
    <w:rsid w:val="00E17778"/>
    <w:rsid w:val="00E1784D"/>
    <w:rsid w:val="00E20A95"/>
    <w:rsid w:val="00E20E02"/>
    <w:rsid w:val="00E20FC9"/>
    <w:rsid w:val="00E215A5"/>
    <w:rsid w:val="00E21BD1"/>
    <w:rsid w:val="00E222DF"/>
    <w:rsid w:val="00E2282E"/>
    <w:rsid w:val="00E2294D"/>
    <w:rsid w:val="00E2297A"/>
    <w:rsid w:val="00E229C1"/>
    <w:rsid w:val="00E22C09"/>
    <w:rsid w:val="00E2339C"/>
    <w:rsid w:val="00E238C8"/>
    <w:rsid w:val="00E239E9"/>
    <w:rsid w:val="00E23FAE"/>
    <w:rsid w:val="00E248F0"/>
    <w:rsid w:val="00E2796A"/>
    <w:rsid w:val="00E30003"/>
    <w:rsid w:val="00E313CE"/>
    <w:rsid w:val="00E31F09"/>
    <w:rsid w:val="00E320DB"/>
    <w:rsid w:val="00E32733"/>
    <w:rsid w:val="00E331D5"/>
    <w:rsid w:val="00E33AB2"/>
    <w:rsid w:val="00E33E69"/>
    <w:rsid w:val="00E3497F"/>
    <w:rsid w:val="00E34E6A"/>
    <w:rsid w:val="00E34F1E"/>
    <w:rsid w:val="00E35D96"/>
    <w:rsid w:val="00E35F0A"/>
    <w:rsid w:val="00E363CF"/>
    <w:rsid w:val="00E36C49"/>
    <w:rsid w:val="00E36D49"/>
    <w:rsid w:val="00E36E14"/>
    <w:rsid w:val="00E37673"/>
    <w:rsid w:val="00E408E9"/>
    <w:rsid w:val="00E418F1"/>
    <w:rsid w:val="00E419DB"/>
    <w:rsid w:val="00E41C29"/>
    <w:rsid w:val="00E41D45"/>
    <w:rsid w:val="00E4238A"/>
    <w:rsid w:val="00E4324D"/>
    <w:rsid w:val="00E4443F"/>
    <w:rsid w:val="00E44935"/>
    <w:rsid w:val="00E4579A"/>
    <w:rsid w:val="00E46771"/>
    <w:rsid w:val="00E46E0B"/>
    <w:rsid w:val="00E471ED"/>
    <w:rsid w:val="00E478DA"/>
    <w:rsid w:val="00E479FF"/>
    <w:rsid w:val="00E5076A"/>
    <w:rsid w:val="00E50E1F"/>
    <w:rsid w:val="00E528AD"/>
    <w:rsid w:val="00E52A22"/>
    <w:rsid w:val="00E53041"/>
    <w:rsid w:val="00E535C2"/>
    <w:rsid w:val="00E53728"/>
    <w:rsid w:val="00E53914"/>
    <w:rsid w:val="00E5696B"/>
    <w:rsid w:val="00E60221"/>
    <w:rsid w:val="00E6098E"/>
    <w:rsid w:val="00E60A5A"/>
    <w:rsid w:val="00E61389"/>
    <w:rsid w:val="00E61780"/>
    <w:rsid w:val="00E62796"/>
    <w:rsid w:val="00E6301A"/>
    <w:rsid w:val="00E65663"/>
    <w:rsid w:val="00E661DB"/>
    <w:rsid w:val="00E66781"/>
    <w:rsid w:val="00E66C88"/>
    <w:rsid w:val="00E67D73"/>
    <w:rsid w:val="00E67D7A"/>
    <w:rsid w:val="00E70710"/>
    <w:rsid w:val="00E71086"/>
    <w:rsid w:val="00E71B32"/>
    <w:rsid w:val="00E7391F"/>
    <w:rsid w:val="00E745BB"/>
    <w:rsid w:val="00E77E32"/>
    <w:rsid w:val="00E809C8"/>
    <w:rsid w:val="00E8173D"/>
    <w:rsid w:val="00E81B11"/>
    <w:rsid w:val="00E82FC8"/>
    <w:rsid w:val="00E834BF"/>
    <w:rsid w:val="00E83987"/>
    <w:rsid w:val="00E84CC4"/>
    <w:rsid w:val="00E855B1"/>
    <w:rsid w:val="00E87BD5"/>
    <w:rsid w:val="00E87C5D"/>
    <w:rsid w:val="00E87D6A"/>
    <w:rsid w:val="00E90B12"/>
    <w:rsid w:val="00E912B1"/>
    <w:rsid w:val="00E921EF"/>
    <w:rsid w:val="00E927FD"/>
    <w:rsid w:val="00E92BF5"/>
    <w:rsid w:val="00E95897"/>
    <w:rsid w:val="00E95DDA"/>
    <w:rsid w:val="00E972A2"/>
    <w:rsid w:val="00E97A7D"/>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B051D"/>
    <w:rsid w:val="00EB1072"/>
    <w:rsid w:val="00EB1A14"/>
    <w:rsid w:val="00EB2610"/>
    <w:rsid w:val="00EB2D92"/>
    <w:rsid w:val="00EB3229"/>
    <w:rsid w:val="00EB341F"/>
    <w:rsid w:val="00EB36B5"/>
    <w:rsid w:val="00EB43C4"/>
    <w:rsid w:val="00EB5C2A"/>
    <w:rsid w:val="00EB686E"/>
    <w:rsid w:val="00EB6974"/>
    <w:rsid w:val="00EB6D6E"/>
    <w:rsid w:val="00EB7570"/>
    <w:rsid w:val="00EB76BD"/>
    <w:rsid w:val="00EC05A9"/>
    <w:rsid w:val="00EC12D9"/>
    <w:rsid w:val="00EC2103"/>
    <w:rsid w:val="00EC27C8"/>
    <w:rsid w:val="00EC2BE5"/>
    <w:rsid w:val="00EC2CCA"/>
    <w:rsid w:val="00EC2E57"/>
    <w:rsid w:val="00EC2E71"/>
    <w:rsid w:val="00EC3A46"/>
    <w:rsid w:val="00EC4D53"/>
    <w:rsid w:val="00EC5347"/>
    <w:rsid w:val="00EC7215"/>
    <w:rsid w:val="00EC7371"/>
    <w:rsid w:val="00EC7652"/>
    <w:rsid w:val="00EC766D"/>
    <w:rsid w:val="00EC77DC"/>
    <w:rsid w:val="00EC7835"/>
    <w:rsid w:val="00ED05EB"/>
    <w:rsid w:val="00ED0D53"/>
    <w:rsid w:val="00ED0ED2"/>
    <w:rsid w:val="00ED25BD"/>
    <w:rsid w:val="00ED3605"/>
    <w:rsid w:val="00ED3C86"/>
    <w:rsid w:val="00ED3CE8"/>
    <w:rsid w:val="00ED47E4"/>
    <w:rsid w:val="00ED4B01"/>
    <w:rsid w:val="00ED5511"/>
    <w:rsid w:val="00ED58AD"/>
    <w:rsid w:val="00ED5E13"/>
    <w:rsid w:val="00ED6A91"/>
    <w:rsid w:val="00ED6C71"/>
    <w:rsid w:val="00ED71AE"/>
    <w:rsid w:val="00ED73A4"/>
    <w:rsid w:val="00ED7D8F"/>
    <w:rsid w:val="00EE07D2"/>
    <w:rsid w:val="00EE0D35"/>
    <w:rsid w:val="00EE1A53"/>
    <w:rsid w:val="00EE1BEE"/>
    <w:rsid w:val="00EE22A7"/>
    <w:rsid w:val="00EE3627"/>
    <w:rsid w:val="00EE39EA"/>
    <w:rsid w:val="00EE4D2B"/>
    <w:rsid w:val="00EE5D97"/>
    <w:rsid w:val="00EE5DE3"/>
    <w:rsid w:val="00EE6288"/>
    <w:rsid w:val="00EE66D4"/>
    <w:rsid w:val="00EE6911"/>
    <w:rsid w:val="00EE6B64"/>
    <w:rsid w:val="00EE6C36"/>
    <w:rsid w:val="00EE6F5D"/>
    <w:rsid w:val="00EF00D3"/>
    <w:rsid w:val="00EF0280"/>
    <w:rsid w:val="00EF0F38"/>
    <w:rsid w:val="00EF12CC"/>
    <w:rsid w:val="00EF1613"/>
    <w:rsid w:val="00EF21B8"/>
    <w:rsid w:val="00EF21F3"/>
    <w:rsid w:val="00EF2355"/>
    <w:rsid w:val="00EF3011"/>
    <w:rsid w:val="00EF3786"/>
    <w:rsid w:val="00EF3BE1"/>
    <w:rsid w:val="00EF4351"/>
    <w:rsid w:val="00EF4927"/>
    <w:rsid w:val="00EF4B23"/>
    <w:rsid w:val="00EF5363"/>
    <w:rsid w:val="00EF59B1"/>
    <w:rsid w:val="00EF59F2"/>
    <w:rsid w:val="00EF6E4E"/>
    <w:rsid w:val="00EF713B"/>
    <w:rsid w:val="00EF780A"/>
    <w:rsid w:val="00EF7B3E"/>
    <w:rsid w:val="00F0069B"/>
    <w:rsid w:val="00F01C37"/>
    <w:rsid w:val="00F01D44"/>
    <w:rsid w:val="00F01F24"/>
    <w:rsid w:val="00F02BF0"/>
    <w:rsid w:val="00F03C49"/>
    <w:rsid w:val="00F03F33"/>
    <w:rsid w:val="00F0432C"/>
    <w:rsid w:val="00F04516"/>
    <w:rsid w:val="00F06034"/>
    <w:rsid w:val="00F07A6D"/>
    <w:rsid w:val="00F1097C"/>
    <w:rsid w:val="00F121F0"/>
    <w:rsid w:val="00F123F4"/>
    <w:rsid w:val="00F12421"/>
    <w:rsid w:val="00F12DCF"/>
    <w:rsid w:val="00F12F63"/>
    <w:rsid w:val="00F1310D"/>
    <w:rsid w:val="00F133D6"/>
    <w:rsid w:val="00F13971"/>
    <w:rsid w:val="00F14133"/>
    <w:rsid w:val="00F144D6"/>
    <w:rsid w:val="00F14C5F"/>
    <w:rsid w:val="00F14FC4"/>
    <w:rsid w:val="00F1511E"/>
    <w:rsid w:val="00F15860"/>
    <w:rsid w:val="00F15A42"/>
    <w:rsid w:val="00F15DA5"/>
    <w:rsid w:val="00F16108"/>
    <w:rsid w:val="00F16136"/>
    <w:rsid w:val="00F16526"/>
    <w:rsid w:val="00F16D91"/>
    <w:rsid w:val="00F1705F"/>
    <w:rsid w:val="00F1756F"/>
    <w:rsid w:val="00F201FD"/>
    <w:rsid w:val="00F2085A"/>
    <w:rsid w:val="00F2227C"/>
    <w:rsid w:val="00F23548"/>
    <w:rsid w:val="00F2359A"/>
    <w:rsid w:val="00F2404C"/>
    <w:rsid w:val="00F2429E"/>
    <w:rsid w:val="00F25371"/>
    <w:rsid w:val="00F25545"/>
    <w:rsid w:val="00F265B9"/>
    <w:rsid w:val="00F266AA"/>
    <w:rsid w:val="00F2685A"/>
    <w:rsid w:val="00F2701E"/>
    <w:rsid w:val="00F27661"/>
    <w:rsid w:val="00F279BD"/>
    <w:rsid w:val="00F27FFD"/>
    <w:rsid w:val="00F3079C"/>
    <w:rsid w:val="00F3223F"/>
    <w:rsid w:val="00F3267F"/>
    <w:rsid w:val="00F336C7"/>
    <w:rsid w:val="00F33779"/>
    <w:rsid w:val="00F33B9C"/>
    <w:rsid w:val="00F34050"/>
    <w:rsid w:val="00F340F6"/>
    <w:rsid w:val="00F34129"/>
    <w:rsid w:val="00F3424C"/>
    <w:rsid w:val="00F34397"/>
    <w:rsid w:val="00F354AA"/>
    <w:rsid w:val="00F35F09"/>
    <w:rsid w:val="00F37037"/>
    <w:rsid w:val="00F3771F"/>
    <w:rsid w:val="00F37869"/>
    <w:rsid w:val="00F37A08"/>
    <w:rsid w:val="00F37BB9"/>
    <w:rsid w:val="00F40B80"/>
    <w:rsid w:val="00F41B49"/>
    <w:rsid w:val="00F423F0"/>
    <w:rsid w:val="00F42726"/>
    <w:rsid w:val="00F42C78"/>
    <w:rsid w:val="00F43C32"/>
    <w:rsid w:val="00F44601"/>
    <w:rsid w:val="00F453B6"/>
    <w:rsid w:val="00F45854"/>
    <w:rsid w:val="00F45D0C"/>
    <w:rsid w:val="00F460F1"/>
    <w:rsid w:val="00F468F2"/>
    <w:rsid w:val="00F4697F"/>
    <w:rsid w:val="00F46B56"/>
    <w:rsid w:val="00F46D54"/>
    <w:rsid w:val="00F50DC4"/>
    <w:rsid w:val="00F524C0"/>
    <w:rsid w:val="00F52A72"/>
    <w:rsid w:val="00F53483"/>
    <w:rsid w:val="00F53548"/>
    <w:rsid w:val="00F548BE"/>
    <w:rsid w:val="00F5528F"/>
    <w:rsid w:val="00F568B3"/>
    <w:rsid w:val="00F568CD"/>
    <w:rsid w:val="00F569C2"/>
    <w:rsid w:val="00F56A10"/>
    <w:rsid w:val="00F56AE4"/>
    <w:rsid w:val="00F57C62"/>
    <w:rsid w:val="00F57FC5"/>
    <w:rsid w:val="00F6000C"/>
    <w:rsid w:val="00F61269"/>
    <w:rsid w:val="00F62DFC"/>
    <w:rsid w:val="00F62F58"/>
    <w:rsid w:val="00F6340C"/>
    <w:rsid w:val="00F6362F"/>
    <w:rsid w:val="00F6381A"/>
    <w:rsid w:val="00F64095"/>
    <w:rsid w:val="00F6497A"/>
    <w:rsid w:val="00F65403"/>
    <w:rsid w:val="00F658BB"/>
    <w:rsid w:val="00F6598F"/>
    <w:rsid w:val="00F65E41"/>
    <w:rsid w:val="00F65FF3"/>
    <w:rsid w:val="00F66292"/>
    <w:rsid w:val="00F6694F"/>
    <w:rsid w:val="00F67026"/>
    <w:rsid w:val="00F70012"/>
    <w:rsid w:val="00F702ED"/>
    <w:rsid w:val="00F7048F"/>
    <w:rsid w:val="00F70A5D"/>
    <w:rsid w:val="00F70D04"/>
    <w:rsid w:val="00F71756"/>
    <w:rsid w:val="00F717ED"/>
    <w:rsid w:val="00F71F64"/>
    <w:rsid w:val="00F722AD"/>
    <w:rsid w:val="00F72370"/>
    <w:rsid w:val="00F724A0"/>
    <w:rsid w:val="00F72ED6"/>
    <w:rsid w:val="00F72EDE"/>
    <w:rsid w:val="00F748DB"/>
    <w:rsid w:val="00F7494B"/>
    <w:rsid w:val="00F74B62"/>
    <w:rsid w:val="00F74E67"/>
    <w:rsid w:val="00F75BD6"/>
    <w:rsid w:val="00F76257"/>
    <w:rsid w:val="00F7685E"/>
    <w:rsid w:val="00F76B38"/>
    <w:rsid w:val="00F76DA5"/>
    <w:rsid w:val="00F76F1C"/>
    <w:rsid w:val="00F76FC2"/>
    <w:rsid w:val="00F770EF"/>
    <w:rsid w:val="00F775E1"/>
    <w:rsid w:val="00F7791F"/>
    <w:rsid w:val="00F77BDA"/>
    <w:rsid w:val="00F77EC2"/>
    <w:rsid w:val="00F808A8"/>
    <w:rsid w:val="00F80E09"/>
    <w:rsid w:val="00F81687"/>
    <w:rsid w:val="00F81CE3"/>
    <w:rsid w:val="00F81D23"/>
    <w:rsid w:val="00F82060"/>
    <w:rsid w:val="00F820BF"/>
    <w:rsid w:val="00F83B27"/>
    <w:rsid w:val="00F83E60"/>
    <w:rsid w:val="00F83FD9"/>
    <w:rsid w:val="00F84289"/>
    <w:rsid w:val="00F84293"/>
    <w:rsid w:val="00F857D6"/>
    <w:rsid w:val="00F87193"/>
    <w:rsid w:val="00F8722D"/>
    <w:rsid w:val="00F87F75"/>
    <w:rsid w:val="00F87F99"/>
    <w:rsid w:val="00F87FCA"/>
    <w:rsid w:val="00F902E6"/>
    <w:rsid w:val="00F9196A"/>
    <w:rsid w:val="00F92790"/>
    <w:rsid w:val="00F92920"/>
    <w:rsid w:val="00F92A63"/>
    <w:rsid w:val="00F92ACA"/>
    <w:rsid w:val="00F92E7C"/>
    <w:rsid w:val="00F92EAB"/>
    <w:rsid w:val="00F93083"/>
    <w:rsid w:val="00F930D9"/>
    <w:rsid w:val="00F9322C"/>
    <w:rsid w:val="00F93EEE"/>
    <w:rsid w:val="00F954CA"/>
    <w:rsid w:val="00F95676"/>
    <w:rsid w:val="00F96280"/>
    <w:rsid w:val="00F96E84"/>
    <w:rsid w:val="00F97914"/>
    <w:rsid w:val="00FA01D4"/>
    <w:rsid w:val="00FA2BD7"/>
    <w:rsid w:val="00FA3BAD"/>
    <w:rsid w:val="00FA3F06"/>
    <w:rsid w:val="00FA4744"/>
    <w:rsid w:val="00FA6DE6"/>
    <w:rsid w:val="00FA6F37"/>
    <w:rsid w:val="00FA6FA7"/>
    <w:rsid w:val="00FB0862"/>
    <w:rsid w:val="00FB119A"/>
    <w:rsid w:val="00FB1431"/>
    <w:rsid w:val="00FB181F"/>
    <w:rsid w:val="00FB1918"/>
    <w:rsid w:val="00FB1AE8"/>
    <w:rsid w:val="00FB1D7A"/>
    <w:rsid w:val="00FB24C0"/>
    <w:rsid w:val="00FB286E"/>
    <w:rsid w:val="00FB29B4"/>
    <w:rsid w:val="00FB2A18"/>
    <w:rsid w:val="00FB3F9C"/>
    <w:rsid w:val="00FB4206"/>
    <w:rsid w:val="00FB526E"/>
    <w:rsid w:val="00FB5CF6"/>
    <w:rsid w:val="00FB60E4"/>
    <w:rsid w:val="00FB6C8D"/>
    <w:rsid w:val="00FB6D76"/>
    <w:rsid w:val="00FB6F8F"/>
    <w:rsid w:val="00FB7450"/>
    <w:rsid w:val="00FB7968"/>
    <w:rsid w:val="00FC0562"/>
    <w:rsid w:val="00FC0EFA"/>
    <w:rsid w:val="00FC1079"/>
    <w:rsid w:val="00FC1327"/>
    <w:rsid w:val="00FC1533"/>
    <w:rsid w:val="00FC1D4B"/>
    <w:rsid w:val="00FC201C"/>
    <w:rsid w:val="00FC2F98"/>
    <w:rsid w:val="00FC314B"/>
    <w:rsid w:val="00FC39CA"/>
    <w:rsid w:val="00FC3AE8"/>
    <w:rsid w:val="00FC4A41"/>
    <w:rsid w:val="00FC5E6F"/>
    <w:rsid w:val="00FC6408"/>
    <w:rsid w:val="00FC7615"/>
    <w:rsid w:val="00FC7F4D"/>
    <w:rsid w:val="00FD058E"/>
    <w:rsid w:val="00FD05BC"/>
    <w:rsid w:val="00FD0E60"/>
    <w:rsid w:val="00FD2102"/>
    <w:rsid w:val="00FD2718"/>
    <w:rsid w:val="00FD3889"/>
    <w:rsid w:val="00FD45D6"/>
    <w:rsid w:val="00FD465C"/>
    <w:rsid w:val="00FD562A"/>
    <w:rsid w:val="00FD64EF"/>
    <w:rsid w:val="00FD7771"/>
    <w:rsid w:val="00FE0294"/>
    <w:rsid w:val="00FE18B4"/>
    <w:rsid w:val="00FE2C5C"/>
    <w:rsid w:val="00FE2F0E"/>
    <w:rsid w:val="00FE2F48"/>
    <w:rsid w:val="00FE37C2"/>
    <w:rsid w:val="00FE4F46"/>
    <w:rsid w:val="00FE5276"/>
    <w:rsid w:val="00FE606C"/>
    <w:rsid w:val="00FE66FB"/>
    <w:rsid w:val="00FE6FAA"/>
    <w:rsid w:val="00FE7053"/>
    <w:rsid w:val="00FE7495"/>
    <w:rsid w:val="00FE7884"/>
    <w:rsid w:val="00FE7D12"/>
    <w:rsid w:val="00FF07DB"/>
    <w:rsid w:val="00FF3DBD"/>
    <w:rsid w:val="00FF4204"/>
    <w:rsid w:val="00FF4314"/>
    <w:rsid w:val="00FF456E"/>
    <w:rsid w:val="00FF4A19"/>
    <w:rsid w:val="00FF4CE2"/>
    <w:rsid w:val="00FF7533"/>
    <w:rsid w:val="01F0299B"/>
    <w:rsid w:val="02295D87"/>
    <w:rsid w:val="026E4F91"/>
    <w:rsid w:val="041D095D"/>
    <w:rsid w:val="04214D88"/>
    <w:rsid w:val="05C87DB9"/>
    <w:rsid w:val="05FE2133"/>
    <w:rsid w:val="0961739E"/>
    <w:rsid w:val="098E6083"/>
    <w:rsid w:val="0B205B2B"/>
    <w:rsid w:val="0B782559"/>
    <w:rsid w:val="0BB43C70"/>
    <w:rsid w:val="0BDA2FAB"/>
    <w:rsid w:val="0D566BC9"/>
    <w:rsid w:val="0E180322"/>
    <w:rsid w:val="0E8C4995"/>
    <w:rsid w:val="0ED16E9A"/>
    <w:rsid w:val="0EF27BFB"/>
    <w:rsid w:val="0F492060"/>
    <w:rsid w:val="0F772589"/>
    <w:rsid w:val="0FBC50EF"/>
    <w:rsid w:val="115F3FD7"/>
    <w:rsid w:val="11A259DD"/>
    <w:rsid w:val="11F36B75"/>
    <w:rsid w:val="120474A0"/>
    <w:rsid w:val="125A4E46"/>
    <w:rsid w:val="13102ABE"/>
    <w:rsid w:val="14002E9E"/>
    <w:rsid w:val="148D1D77"/>
    <w:rsid w:val="15064E11"/>
    <w:rsid w:val="154F0566"/>
    <w:rsid w:val="167D280D"/>
    <w:rsid w:val="17047766"/>
    <w:rsid w:val="17935895"/>
    <w:rsid w:val="17E43B92"/>
    <w:rsid w:val="17F52C18"/>
    <w:rsid w:val="184530EF"/>
    <w:rsid w:val="184A3267"/>
    <w:rsid w:val="19227A4B"/>
    <w:rsid w:val="1A87441D"/>
    <w:rsid w:val="1B3E182A"/>
    <w:rsid w:val="1B4B5195"/>
    <w:rsid w:val="1C174C6F"/>
    <w:rsid w:val="1C7C020D"/>
    <w:rsid w:val="1C8F78BA"/>
    <w:rsid w:val="1C9B0D84"/>
    <w:rsid w:val="1CDD3F3B"/>
    <w:rsid w:val="1D4D6869"/>
    <w:rsid w:val="20E06E5E"/>
    <w:rsid w:val="21760101"/>
    <w:rsid w:val="222B0335"/>
    <w:rsid w:val="22B25284"/>
    <w:rsid w:val="22C07D9F"/>
    <w:rsid w:val="23056CBA"/>
    <w:rsid w:val="234C1E42"/>
    <w:rsid w:val="23BB6434"/>
    <w:rsid w:val="23C6059E"/>
    <w:rsid w:val="23C95079"/>
    <w:rsid w:val="24031A53"/>
    <w:rsid w:val="24307C26"/>
    <w:rsid w:val="248E5D4C"/>
    <w:rsid w:val="249B0E74"/>
    <w:rsid w:val="24B539F9"/>
    <w:rsid w:val="24C47897"/>
    <w:rsid w:val="24E337F8"/>
    <w:rsid w:val="258D3B57"/>
    <w:rsid w:val="26217CFD"/>
    <w:rsid w:val="262336EE"/>
    <w:rsid w:val="269E4C0C"/>
    <w:rsid w:val="26D25640"/>
    <w:rsid w:val="27024D1A"/>
    <w:rsid w:val="27DC0E2C"/>
    <w:rsid w:val="289F315B"/>
    <w:rsid w:val="2A691DBD"/>
    <w:rsid w:val="2AD85037"/>
    <w:rsid w:val="2B0B1B03"/>
    <w:rsid w:val="2BA92B24"/>
    <w:rsid w:val="2BD0253B"/>
    <w:rsid w:val="2C444480"/>
    <w:rsid w:val="2C564DC3"/>
    <w:rsid w:val="2D6C141D"/>
    <w:rsid w:val="2E020964"/>
    <w:rsid w:val="2EB64B4B"/>
    <w:rsid w:val="2EDB590A"/>
    <w:rsid w:val="2F0A29E3"/>
    <w:rsid w:val="2F7964B4"/>
    <w:rsid w:val="30817D6A"/>
    <w:rsid w:val="3157114E"/>
    <w:rsid w:val="31F2037F"/>
    <w:rsid w:val="329B11F6"/>
    <w:rsid w:val="32B64636"/>
    <w:rsid w:val="3311554C"/>
    <w:rsid w:val="33507D50"/>
    <w:rsid w:val="336E087E"/>
    <w:rsid w:val="33C3087D"/>
    <w:rsid w:val="34EB42A2"/>
    <w:rsid w:val="35961B12"/>
    <w:rsid w:val="35FE207D"/>
    <w:rsid w:val="364523AD"/>
    <w:rsid w:val="36700D38"/>
    <w:rsid w:val="36C4673D"/>
    <w:rsid w:val="36D8249B"/>
    <w:rsid w:val="37B10B63"/>
    <w:rsid w:val="37D17C49"/>
    <w:rsid w:val="38D57455"/>
    <w:rsid w:val="390721D7"/>
    <w:rsid w:val="393B510C"/>
    <w:rsid w:val="393F4767"/>
    <w:rsid w:val="39795121"/>
    <w:rsid w:val="39A97E97"/>
    <w:rsid w:val="3A260C29"/>
    <w:rsid w:val="3A7C2F47"/>
    <w:rsid w:val="3B57268D"/>
    <w:rsid w:val="3B6176CE"/>
    <w:rsid w:val="3BF9504C"/>
    <w:rsid w:val="3CF11603"/>
    <w:rsid w:val="3D7507FB"/>
    <w:rsid w:val="3EB5127A"/>
    <w:rsid w:val="3F503E5E"/>
    <w:rsid w:val="3F57308D"/>
    <w:rsid w:val="3FC16214"/>
    <w:rsid w:val="3FE03124"/>
    <w:rsid w:val="41576FF8"/>
    <w:rsid w:val="41D9164E"/>
    <w:rsid w:val="41DD521D"/>
    <w:rsid w:val="423B7022"/>
    <w:rsid w:val="434C271B"/>
    <w:rsid w:val="4389060E"/>
    <w:rsid w:val="43C8028A"/>
    <w:rsid w:val="43D51667"/>
    <w:rsid w:val="443B2C25"/>
    <w:rsid w:val="448421F1"/>
    <w:rsid w:val="45D37D9B"/>
    <w:rsid w:val="460472DD"/>
    <w:rsid w:val="47A2174A"/>
    <w:rsid w:val="48194FD5"/>
    <w:rsid w:val="484514CB"/>
    <w:rsid w:val="48C86EE1"/>
    <w:rsid w:val="4929323B"/>
    <w:rsid w:val="49FA6EF8"/>
    <w:rsid w:val="4A07551F"/>
    <w:rsid w:val="4A784961"/>
    <w:rsid w:val="4ACF3A3C"/>
    <w:rsid w:val="4B1700DF"/>
    <w:rsid w:val="4D066245"/>
    <w:rsid w:val="4E476A0F"/>
    <w:rsid w:val="4F0F6A19"/>
    <w:rsid w:val="4F7F321A"/>
    <w:rsid w:val="503D0844"/>
    <w:rsid w:val="50BF2EE1"/>
    <w:rsid w:val="51D10A66"/>
    <w:rsid w:val="523167EC"/>
    <w:rsid w:val="528A390F"/>
    <w:rsid w:val="528C6991"/>
    <w:rsid w:val="53BB65A5"/>
    <w:rsid w:val="54054633"/>
    <w:rsid w:val="540605E4"/>
    <w:rsid w:val="5438608E"/>
    <w:rsid w:val="547F0032"/>
    <w:rsid w:val="54A02A20"/>
    <w:rsid w:val="55245321"/>
    <w:rsid w:val="55C87B3E"/>
    <w:rsid w:val="56521A1E"/>
    <w:rsid w:val="569872B3"/>
    <w:rsid w:val="58524579"/>
    <w:rsid w:val="58643938"/>
    <w:rsid w:val="58D67D8C"/>
    <w:rsid w:val="58E10577"/>
    <w:rsid w:val="59165EF7"/>
    <w:rsid w:val="59702A12"/>
    <w:rsid w:val="59F36860"/>
    <w:rsid w:val="5AED2A9C"/>
    <w:rsid w:val="5BC746C9"/>
    <w:rsid w:val="5CC61F72"/>
    <w:rsid w:val="5CF206F7"/>
    <w:rsid w:val="5DD064B1"/>
    <w:rsid w:val="5E121570"/>
    <w:rsid w:val="5EA0340D"/>
    <w:rsid w:val="5EA226A2"/>
    <w:rsid w:val="5ED66C3C"/>
    <w:rsid w:val="5F6D308F"/>
    <w:rsid w:val="5FDD643B"/>
    <w:rsid w:val="6045400C"/>
    <w:rsid w:val="60716BAF"/>
    <w:rsid w:val="60BA3E42"/>
    <w:rsid w:val="613A3445"/>
    <w:rsid w:val="6194383B"/>
    <w:rsid w:val="61CB5375"/>
    <w:rsid w:val="623348CA"/>
    <w:rsid w:val="65CA685B"/>
    <w:rsid w:val="65CF34A7"/>
    <w:rsid w:val="65F660EF"/>
    <w:rsid w:val="66081F57"/>
    <w:rsid w:val="6670349F"/>
    <w:rsid w:val="6673798C"/>
    <w:rsid w:val="673905B6"/>
    <w:rsid w:val="681C3942"/>
    <w:rsid w:val="683F3D36"/>
    <w:rsid w:val="68460AAC"/>
    <w:rsid w:val="68AC1CFE"/>
    <w:rsid w:val="6B2E61E0"/>
    <w:rsid w:val="6B6F4E23"/>
    <w:rsid w:val="6BCD1DE6"/>
    <w:rsid w:val="6C505023"/>
    <w:rsid w:val="6CDC6038"/>
    <w:rsid w:val="6D14299F"/>
    <w:rsid w:val="6D672A1E"/>
    <w:rsid w:val="6D8A03B5"/>
    <w:rsid w:val="6DC237D1"/>
    <w:rsid w:val="6F40725E"/>
    <w:rsid w:val="6FAC19B2"/>
    <w:rsid w:val="711172CF"/>
    <w:rsid w:val="71FD54DD"/>
    <w:rsid w:val="739C6339"/>
    <w:rsid w:val="73BE3A62"/>
    <w:rsid w:val="7410294D"/>
    <w:rsid w:val="76D71644"/>
    <w:rsid w:val="771D6AD8"/>
    <w:rsid w:val="776C2FB6"/>
    <w:rsid w:val="784C5AD5"/>
    <w:rsid w:val="78702F41"/>
    <w:rsid w:val="79982284"/>
    <w:rsid w:val="7998662D"/>
    <w:rsid w:val="7A1A34E0"/>
    <w:rsid w:val="7A8C5878"/>
    <w:rsid w:val="7B471854"/>
    <w:rsid w:val="7C552333"/>
    <w:rsid w:val="7C8E388D"/>
    <w:rsid w:val="7CA86C55"/>
    <w:rsid w:val="7CF019C1"/>
    <w:rsid w:val="7D461CAD"/>
    <w:rsid w:val="7DA92CA1"/>
    <w:rsid w:val="7E28286A"/>
    <w:rsid w:val="7E4515FE"/>
    <w:rsid w:val="7EAD59B2"/>
    <w:rsid w:val="7F9127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0"/>
    <w:qFormat/>
    <w:uiPriority w:val="0"/>
    <w:pPr>
      <w:spacing w:before="340" w:after="330" w:line="360" w:lineRule="auto"/>
      <w:jc w:val="center"/>
      <w:outlineLvl w:val="0"/>
    </w:pPr>
    <w:rPr>
      <w:rFonts w:eastAsiaTheme="minorEastAsia"/>
      <w:kern w:val="44"/>
      <w:sz w:val="44"/>
      <w:szCs w:val="28"/>
    </w:rPr>
  </w:style>
  <w:style w:type="paragraph" w:styleId="4">
    <w:name w:val="heading 2"/>
    <w:basedOn w:val="1"/>
    <w:next w:val="1"/>
    <w:link w:val="61"/>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5">
    <w:name w:val="heading 3"/>
    <w:basedOn w:val="4"/>
    <w:next w:val="1"/>
    <w:link w:val="59"/>
    <w:qFormat/>
    <w:uiPriority w:val="0"/>
    <w:pPr>
      <w:jc w:val="left"/>
      <w:outlineLvl w:val="2"/>
    </w:pPr>
    <w:rPr>
      <w:sz w:val="24"/>
    </w:rPr>
  </w:style>
  <w:style w:type="paragraph" w:styleId="6">
    <w:name w:val="heading 4"/>
    <w:basedOn w:val="1"/>
    <w:next w:val="1"/>
    <w:link w:val="62"/>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8"/>
    <w:link w:val="64"/>
    <w:qFormat/>
    <w:uiPriority w:val="0"/>
    <w:pPr>
      <w:keepNext/>
      <w:keepLines/>
      <w:numPr>
        <w:ilvl w:val="4"/>
        <w:numId w:val="1"/>
      </w:numPr>
      <w:tabs>
        <w:tab w:val="left" w:pos="371"/>
      </w:tabs>
      <w:spacing w:before="280" w:after="290" w:line="374" w:lineRule="auto"/>
      <w:outlineLvl w:val="4"/>
    </w:pPr>
    <w:rPr>
      <w:b/>
      <w:sz w:val="28"/>
    </w:rPr>
  </w:style>
  <w:style w:type="paragraph" w:styleId="9">
    <w:name w:val="heading 6"/>
    <w:basedOn w:val="1"/>
    <w:next w:val="8"/>
    <w:link w:val="65"/>
    <w:qFormat/>
    <w:uiPriority w:val="9"/>
    <w:pPr>
      <w:keepNext/>
      <w:keepLines/>
      <w:numPr>
        <w:ilvl w:val="5"/>
        <w:numId w:val="1"/>
      </w:numPr>
      <w:spacing w:before="240" w:after="64" w:line="319" w:lineRule="auto"/>
      <w:outlineLvl w:val="5"/>
    </w:pPr>
    <w:rPr>
      <w:rFonts w:ascii="Arial" w:hAnsi="Arial" w:eastAsia="黑体"/>
      <w:b/>
      <w:sz w:val="24"/>
    </w:rPr>
  </w:style>
  <w:style w:type="paragraph" w:styleId="10">
    <w:name w:val="heading 7"/>
    <w:basedOn w:val="1"/>
    <w:next w:val="8"/>
    <w:link w:val="66"/>
    <w:qFormat/>
    <w:uiPriority w:val="9"/>
    <w:pPr>
      <w:keepNext/>
      <w:keepLines/>
      <w:numPr>
        <w:ilvl w:val="6"/>
        <w:numId w:val="1"/>
      </w:numPr>
      <w:spacing w:before="240" w:after="64" w:line="319" w:lineRule="auto"/>
      <w:outlineLvl w:val="6"/>
    </w:pPr>
    <w:rPr>
      <w:b/>
      <w:sz w:val="24"/>
    </w:rPr>
  </w:style>
  <w:style w:type="paragraph" w:styleId="11">
    <w:name w:val="heading 8"/>
    <w:basedOn w:val="1"/>
    <w:next w:val="8"/>
    <w:link w:val="67"/>
    <w:qFormat/>
    <w:uiPriority w:val="9"/>
    <w:pPr>
      <w:keepNext/>
      <w:keepLines/>
      <w:numPr>
        <w:ilvl w:val="7"/>
        <w:numId w:val="1"/>
      </w:numPr>
      <w:spacing w:before="240" w:after="64" w:line="319" w:lineRule="auto"/>
      <w:outlineLvl w:val="7"/>
    </w:pPr>
    <w:rPr>
      <w:rFonts w:ascii="Arial" w:hAnsi="Arial" w:eastAsia="黑体"/>
      <w:sz w:val="24"/>
    </w:rPr>
  </w:style>
  <w:style w:type="paragraph" w:styleId="12">
    <w:name w:val="heading 9"/>
    <w:basedOn w:val="1"/>
    <w:next w:val="8"/>
    <w:link w:val="68"/>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71"/>
    <w:qFormat/>
    <w:uiPriority w:val="0"/>
    <w:pPr>
      <w:spacing w:after="120"/>
    </w:pPr>
  </w:style>
  <w:style w:type="paragraph" w:styleId="8">
    <w:name w:val="Normal Indent"/>
    <w:basedOn w:val="1"/>
    <w:link w:val="63"/>
    <w:qFormat/>
    <w:uiPriority w:val="0"/>
    <w:pPr>
      <w:ind w:firstLine="420" w:firstLineChars="200"/>
    </w:pPr>
  </w:style>
  <w:style w:type="paragraph" w:styleId="13">
    <w:name w:val="toc 7"/>
    <w:basedOn w:val="1"/>
    <w:next w:val="1"/>
    <w:qFormat/>
    <w:uiPriority w:val="0"/>
    <w:pPr>
      <w:ind w:left="1260"/>
      <w:jc w:val="left"/>
    </w:pPr>
    <w:rPr>
      <w:szCs w:val="21"/>
    </w:rPr>
  </w:style>
  <w:style w:type="paragraph" w:styleId="14">
    <w:name w:val="List Number 2"/>
    <w:basedOn w:val="1"/>
    <w:qFormat/>
    <w:uiPriority w:val="0"/>
    <w:pPr>
      <w:tabs>
        <w:tab w:val="left" w:pos="780"/>
      </w:tabs>
      <w:ind w:left="780" w:hanging="360"/>
    </w:pPr>
    <w:rPr>
      <w:szCs w:val="20"/>
    </w:rPr>
  </w:style>
  <w:style w:type="paragraph" w:styleId="15">
    <w:name w:val="List Bullet 4"/>
    <w:basedOn w:val="1"/>
    <w:qFormat/>
    <w:uiPriority w:val="0"/>
    <w:pPr>
      <w:tabs>
        <w:tab w:val="left" w:pos="425"/>
        <w:tab w:val="left" w:pos="1620"/>
      </w:tabs>
      <w:ind w:left="425" w:hanging="425"/>
    </w:pPr>
    <w:rPr>
      <w:szCs w:val="20"/>
    </w:rPr>
  </w:style>
  <w:style w:type="paragraph" w:styleId="16">
    <w:name w:val="caption"/>
    <w:basedOn w:val="1"/>
    <w:next w:val="1"/>
    <w:link w:val="297"/>
    <w:qFormat/>
    <w:uiPriority w:val="0"/>
    <w:rPr>
      <w:rFonts w:ascii="Cambria" w:hAnsi="Cambria" w:eastAsia="黑体"/>
    </w:rPr>
  </w:style>
  <w:style w:type="paragraph" w:styleId="17">
    <w:name w:val="List Bullet"/>
    <w:basedOn w:val="1"/>
    <w:qFormat/>
    <w:uiPriority w:val="0"/>
    <w:pPr>
      <w:numPr>
        <w:ilvl w:val="0"/>
        <w:numId w:val="1"/>
      </w:numPr>
      <w:tabs>
        <w:tab w:val="left" w:pos="360"/>
        <w:tab w:val="clear" w:pos="371"/>
      </w:tabs>
    </w:pPr>
    <w:rPr>
      <w:szCs w:val="20"/>
    </w:rPr>
  </w:style>
  <w:style w:type="paragraph" w:styleId="18">
    <w:name w:val="Document Map"/>
    <w:basedOn w:val="1"/>
    <w:link w:val="73"/>
    <w:qFormat/>
    <w:uiPriority w:val="0"/>
    <w:pPr>
      <w:shd w:val="clear" w:color="auto" w:fill="000080"/>
    </w:pPr>
  </w:style>
  <w:style w:type="paragraph" w:styleId="19">
    <w:name w:val="annotation text"/>
    <w:basedOn w:val="1"/>
    <w:link w:val="69"/>
    <w:qFormat/>
    <w:uiPriority w:val="99"/>
    <w:pPr>
      <w:jc w:val="left"/>
    </w:pPr>
  </w:style>
  <w:style w:type="paragraph" w:styleId="20">
    <w:name w:val="Body Text 3"/>
    <w:basedOn w:val="1"/>
    <w:link w:val="458"/>
    <w:unhideWhenUsed/>
    <w:qFormat/>
    <w:uiPriority w:val="0"/>
    <w:pPr>
      <w:spacing w:after="120"/>
    </w:pPr>
    <w:rPr>
      <w:sz w:val="16"/>
      <w:szCs w:val="16"/>
    </w:rPr>
  </w:style>
  <w:style w:type="paragraph" w:styleId="21">
    <w:name w:val="Body Text Indent"/>
    <w:basedOn w:val="1"/>
    <w:link w:val="74"/>
    <w:qFormat/>
    <w:uiPriority w:val="0"/>
    <w:pPr>
      <w:spacing w:after="120"/>
      <w:ind w:left="420" w:leftChars="200"/>
    </w:pPr>
  </w:style>
  <w:style w:type="paragraph" w:styleId="22">
    <w:name w:val="Block Text"/>
    <w:basedOn w:val="1"/>
    <w:qFormat/>
    <w:uiPriority w:val="0"/>
    <w:pPr>
      <w:spacing w:after="120"/>
      <w:ind w:left="1440" w:leftChars="700" w:right="1440" w:rightChars="700"/>
    </w:pPr>
  </w:style>
  <w:style w:type="paragraph" w:styleId="23">
    <w:name w:val="List Bullet 2"/>
    <w:basedOn w:val="1"/>
    <w:qFormat/>
    <w:uiPriority w:val="0"/>
    <w:pPr>
      <w:numPr>
        <w:ilvl w:val="0"/>
        <w:numId w:val="2"/>
      </w:numPr>
      <w:tabs>
        <w:tab w:val="left" w:pos="780"/>
      </w:tabs>
    </w:pPr>
    <w:rPr>
      <w:szCs w:val="20"/>
    </w:rPr>
  </w:style>
  <w:style w:type="paragraph" w:styleId="24">
    <w:name w:val="toc 5"/>
    <w:basedOn w:val="1"/>
    <w:next w:val="1"/>
    <w:qFormat/>
    <w:uiPriority w:val="0"/>
    <w:pPr>
      <w:ind w:left="840"/>
      <w:jc w:val="left"/>
    </w:pPr>
    <w:rPr>
      <w:szCs w:val="21"/>
    </w:rPr>
  </w:style>
  <w:style w:type="paragraph" w:styleId="25">
    <w:name w:val="toc 3"/>
    <w:basedOn w:val="1"/>
    <w:next w:val="1"/>
    <w:qFormat/>
    <w:uiPriority w:val="39"/>
    <w:pPr>
      <w:ind w:left="420"/>
      <w:jc w:val="left"/>
    </w:pPr>
    <w:rPr>
      <w:iCs/>
    </w:rPr>
  </w:style>
  <w:style w:type="paragraph" w:styleId="26">
    <w:name w:val="Plain Text"/>
    <w:basedOn w:val="1"/>
    <w:link w:val="75"/>
    <w:qFormat/>
    <w:uiPriority w:val="0"/>
    <w:rPr>
      <w:rFonts w:ascii="宋体" w:hAnsi="Courier New"/>
      <w:szCs w:val="20"/>
    </w:rPr>
  </w:style>
  <w:style w:type="paragraph" w:styleId="27">
    <w:name w:val="toc 8"/>
    <w:basedOn w:val="1"/>
    <w:next w:val="1"/>
    <w:qFormat/>
    <w:uiPriority w:val="0"/>
    <w:pPr>
      <w:ind w:left="1470"/>
      <w:jc w:val="left"/>
    </w:pPr>
    <w:rPr>
      <w:szCs w:val="21"/>
    </w:rPr>
  </w:style>
  <w:style w:type="paragraph" w:styleId="28">
    <w:name w:val="Date"/>
    <w:basedOn w:val="1"/>
    <w:next w:val="1"/>
    <w:link w:val="316"/>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9">
    <w:name w:val="Body Text Indent 2"/>
    <w:basedOn w:val="1"/>
    <w:link w:val="76"/>
    <w:qFormat/>
    <w:uiPriority w:val="0"/>
    <w:pPr>
      <w:spacing w:after="120" w:line="480" w:lineRule="auto"/>
      <w:ind w:left="420" w:leftChars="200"/>
    </w:pPr>
  </w:style>
  <w:style w:type="paragraph" w:styleId="30">
    <w:name w:val="Balloon Text"/>
    <w:basedOn w:val="1"/>
    <w:link w:val="77"/>
    <w:qFormat/>
    <w:uiPriority w:val="0"/>
    <w:rPr>
      <w:sz w:val="18"/>
      <w:szCs w:val="18"/>
    </w:rPr>
  </w:style>
  <w:style w:type="paragraph" w:styleId="31">
    <w:name w:val="footer"/>
    <w:basedOn w:val="1"/>
    <w:link w:val="78"/>
    <w:qFormat/>
    <w:uiPriority w:val="99"/>
    <w:pPr>
      <w:tabs>
        <w:tab w:val="center" w:pos="4153"/>
        <w:tab w:val="right" w:pos="8306"/>
      </w:tabs>
      <w:snapToGrid w:val="0"/>
      <w:jc w:val="left"/>
    </w:pPr>
    <w:rPr>
      <w:sz w:val="18"/>
      <w:szCs w:val="18"/>
    </w:rPr>
  </w:style>
  <w:style w:type="paragraph" w:styleId="32">
    <w:name w:val="header"/>
    <w:basedOn w:val="1"/>
    <w:link w:val="79"/>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7"/>
    <w:qFormat/>
    <w:uiPriority w:val="0"/>
    <w:pPr>
      <w:ind w:left="4320"/>
    </w:pPr>
    <w:rPr>
      <w:rFonts w:eastAsia="楷体_GB2312"/>
      <w:szCs w:val="20"/>
    </w:rPr>
  </w:style>
  <w:style w:type="paragraph" w:styleId="34">
    <w:name w:val="toc 1"/>
    <w:basedOn w:val="1"/>
    <w:next w:val="1"/>
    <w:qFormat/>
    <w:uiPriority w:val="39"/>
    <w:pPr>
      <w:spacing w:before="120" w:after="120"/>
      <w:jc w:val="left"/>
    </w:pPr>
    <w:rPr>
      <w:rFonts w:ascii="宋体" w:hAnsi="宋体" w:cs="宋体"/>
      <w:b/>
      <w:bCs/>
      <w:caps/>
      <w:szCs w:val="21"/>
    </w:rPr>
  </w:style>
  <w:style w:type="paragraph" w:styleId="35">
    <w:name w:val="toc 4"/>
    <w:basedOn w:val="1"/>
    <w:next w:val="1"/>
    <w:qFormat/>
    <w:uiPriority w:val="0"/>
    <w:pPr>
      <w:ind w:left="630"/>
      <w:jc w:val="left"/>
    </w:pPr>
    <w:rPr>
      <w:szCs w:val="21"/>
    </w:rPr>
  </w:style>
  <w:style w:type="paragraph" w:styleId="36">
    <w:name w:val="index heading"/>
    <w:basedOn w:val="1"/>
    <w:next w:val="37"/>
    <w:qFormat/>
    <w:uiPriority w:val="0"/>
    <w:rPr>
      <w:szCs w:val="20"/>
    </w:rPr>
  </w:style>
  <w:style w:type="paragraph" w:styleId="37">
    <w:name w:val="index 1"/>
    <w:basedOn w:val="1"/>
    <w:next w:val="1"/>
    <w:qFormat/>
    <w:uiPriority w:val="0"/>
  </w:style>
  <w:style w:type="paragraph" w:styleId="38">
    <w:name w:val="footnote text"/>
    <w:basedOn w:val="1"/>
    <w:link w:val="481"/>
    <w:qFormat/>
    <w:uiPriority w:val="0"/>
    <w:pPr>
      <w:snapToGrid w:val="0"/>
      <w:jc w:val="left"/>
    </w:pPr>
    <w:rPr>
      <w:sz w:val="18"/>
      <w:szCs w:val="18"/>
    </w:rPr>
  </w:style>
  <w:style w:type="paragraph" w:styleId="39">
    <w:name w:val="toc 6"/>
    <w:basedOn w:val="1"/>
    <w:next w:val="1"/>
    <w:qFormat/>
    <w:uiPriority w:val="0"/>
    <w:pPr>
      <w:ind w:left="1050"/>
      <w:jc w:val="left"/>
    </w:pPr>
    <w:rPr>
      <w:szCs w:val="21"/>
    </w:rPr>
  </w:style>
  <w:style w:type="paragraph" w:styleId="40">
    <w:name w:val="Body Text Indent 3"/>
    <w:basedOn w:val="1"/>
    <w:link w:val="313"/>
    <w:qFormat/>
    <w:uiPriority w:val="0"/>
    <w:pPr>
      <w:ind w:firstLine="426"/>
    </w:pPr>
    <w:rPr>
      <w:szCs w:val="20"/>
    </w:rPr>
  </w:style>
  <w:style w:type="paragraph" w:styleId="41">
    <w:name w:val="toc 2"/>
    <w:basedOn w:val="1"/>
    <w:next w:val="1"/>
    <w:qFormat/>
    <w:uiPriority w:val="39"/>
    <w:pPr>
      <w:ind w:left="210"/>
      <w:jc w:val="left"/>
    </w:pPr>
    <w:rPr>
      <w:smallCaps/>
    </w:rPr>
  </w:style>
  <w:style w:type="paragraph" w:styleId="42">
    <w:name w:val="toc 9"/>
    <w:basedOn w:val="1"/>
    <w:next w:val="1"/>
    <w:qFormat/>
    <w:uiPriority w:val="0"/>
    <w:pPr>
      <w:ind w:left="1680"/>
      <w:jc w:val="left"/>
    </w:pPr>
    <w:rPr>
      <w:szCs w:val="21"/>
    </w:rPr>
  </w:style>
  <w:style w:type="paragraph" w:styleId="43">
    <w:name w:val="Body Text 2"/>
    <w:basedOn w:val="1"/>
    <w:link w:val="306"/>
    <w:qFormat/>
    <w:uiPriority w:val="0"/>
    <w:rPr>
      <w:sz w:val="28"/>
      <w:szCs w:val="20"/>
    </w:rPr>
  </w:style>
  <w:style w:type="paragraph" w:styleId="44">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qFormat/>
    <w:uiPriority w:val="0"/>
    <w:pPr>
      <w:widowControl/>
      <w:spacing w:before="100" w:beforeAutospacing="1" w:after="100" w:afterAutospacing="1"/>
      <w:jc w:val="left"/>
    </w:pPr>
    <w:rPr>
      <w:kern w:val="0"/>
      <w:sz w:val="24"/>
    </w:rPr>
  </w:style>
  <w:style w:type="paragraph" w:styleId="46">
    <w:name w:val="Title"/>
    <w:basedOn w:val="1"/>
    <w:link w:val="81"/>
    <w:qFormat/>
    <w:uiPriority w:val="0"/>
    <w:pPr>
      <w:spacing w:before="240" w:after="60"/>
      <w:jc w:val="center"/>
      <w:outlineLvl w:val="0"/>
    </w:pPr>
    <w:rPr>
      <w:rFonts w:ascii="Arial" w:hAnsi="Arial" w:eastAsia="隶书"/>
      <w:b/>
      <w:bCs/>
      <w:sz w:val="32"/>
      <w:szCs w:val="32"/>
    </w:rPr>
  </w:style>
  <w:style w:type="paragraph" w:styleId="47">
    <w:name w:val="annotation subject"/>
    <w:basedOn w:val="19"/>
    <w:next w:val="19"/>
    <w:link w:val="70"/>
    <w:qFormat/>
    <w:uiPriority w:val="0"/>
    <w:rPr>
      <w:b/>
      <w:bCs/>
    </w:rPr>
  </w:style>
  <w:style w:type="paragraph" w:styleId="48">
    <w:name w:val="Body Text First Indent"/>
    <w:basedOn w:val="2"/>
    <w:link w:val="72"/>
    <w:qFormat/>
    <w:uiPriority w:val="0"/>
    <w:pPr>
      <w:ind w:firstLine="420" w:firstLineChars="100"/>
    </w:pPr>
  </w:style>
  <w:style w:type="paragraph" w:styleId="49">
    <w:name w:val="Body Text First Indent 2"/>
    <w:basedOn w:val="21"/>
    <w:link w:val="292"/>
    <w:qFormat/>
    <w:uiPriority w:val="0"/>
    <w:pPr>
      <w:spacing w:after="160" w:line="360" w:lineRule="auto"/>
      <w:ind w:firstLine="480" w:firstLineChars="200"/>
    </w:pPr>
    <w:rPr>
      <w:kern w:val="0"/>
      <w:sz w:val="24"/>
    </w:rPr>
  </w:style>
  <w:style w:type="table" w:styleId="51">
    <w:name w:val="Table Grid"/>
    <w:basedOn w:val="5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Strong"/>
    <w:qFormat/>
    <w:uiPriority w:val="22"/>
    <w:rPr>
      <w:b/>
      <w:bCs/>
    </w:rPr>
  </w:style>
  <w:style w:type="character" w:styleId="54">
    <w:name w:val="page number"/>
    <w:basedOn w:val="52"/>
    <w:qFormat/>
    <w:uiPriority w:val="0"/>
  </w:style>
  <w:style w:type="character" w:styleId="55">
    <w:name w:val="FollowedHyperlink"/>
    <w:basedOn w:val="52"/>
    <w:unhideWhenUsed/>
    <w:qFormat/>
    <w:uiPriority w:val="0"/>
    <w:rPr>
      <w:color w:val="800080"/>
      <w:u w:val="single"/>
    </w:rPr>
  </w:style>
  <w:style w:type="character" w:styleId="56">
    <w:name w:val="Emphasis"/>
    <w:qFormat/>
    <w:uiPriority w:val="20"/>
    <w:rPr>
      <w:i/>
      <w:iCs/>
    </w:rPr>
  </w:style>
  <w:style w:type="character" w:styleId="57">
    <w:name w:val="Hyperlink"/>
    <w:qFormat/>
    <w:uiPriority w:val="99"/>
    <w:rPr>
      <w:color w:val="0000FF"/>
      <w:u w:val="single"/>
    </w:rPr>
  </w:style>
  <w:style w:type="character" w:styleId="58">
    <w:name w:val="annotation reference"/>
    <w:qFormat/>
    <w:uiPriority w:val="99"/>
    <w:rPr>
      <w:sz w:val="21"/>
      <w:szCs w:val="21"/>
    </w:rPr>
  </w:style>
  <w:style w:type="character" w:customStyle="1" w:styleId="59">
    <w:name w:val="标题 3 字符"/>
    <w:basedOn w:val="52"/>
    <w:link w:val="5"/>
    <w:qFormat/>
    <w:uiPriority w:val="0"/>
    <w:rPr>
      <w:b/>
      <w:bCs/>
      <w:kern w:val="2"/>
      <w:sz w:val="24"/>
      <w:szCs w:val="32"/>
    </w:rPr>
  </w:style>
  <w:style w:type="character" w:customStyle="1" w:styleId="60">
    <w:name w:val="标题 1 字符"/>
    <w:basedOn w:val="52"/>
    <w:link w:val="3"/>
    <w:qFormat/>
    <w:uiPriority w:val="0"/>
    <w:rPr>
      <w:rFonts w:eastAsiaTheme="minorEastAsia"/>
      <w:b/>
      <w:kern w:val="44"/>
      <w:sz w:val="44"/>
      <w:szCs w:val="28"/>
    </w:rPr>
  </w:style>
  <w:style w:type="character" w:customStyle="1" w:styleId="61">
    <w:name w:val="标题 2 字符"/>
    <w:basedOn w:val="52"/>
    <w:link w:val="4"/>
    <w:qFormat/>
    <w:uiPriority w:val="0"/>
    <w:rPr>
      <w:rFonts w:ascii="Arial" w:hAnsi="Arial" w:eastAsiaTheme="minorEastAsia"/>
      <w:b/>
      <w:bCs/>
      <w:kern w:val="2"/>
      <w:sz w:val="28"/>
      <w:szCs w:val="32"/>
    </w:rPr>
  </w:style>
  <w:style w:type="character" w:customStyle="1" w:styleId="62">
    <w:name w:val="标题 4 字符"/>
    <w:basedOn w:val="52"/>
    <w:link w:val="6"/>
    <w:qFormat/>
    <w:uiPriority w:val="99"/>
    <w:rPr>
      <w:rFonts w:ascii="Arial" w:hAnsi="Arial" w:eastAsia="黑体"/>
      <w:b/>
      <w:bCs/>
      <w:kern w:val="2"/>
      <w:sz w:val="28"/>
      <w:szCs w:val="28"/>
    </w:rPr>
  </w:style>
  <w:style w:type="character" w:customStyle="1" w:styleId="63">
    <w:name w:val="正文缩进 字符"/>
    <w:link w:val="8"/>
    <w:qFormat/>
    <w:uiPriority w:val="0"/>
    <w:rPr>
      <w:rFonts w:eastAsia="宋体"/>
      <w:kern w:val="2"/>
      <w:sz w:val="21"/>
      <w:szCs w:val="24"/>
      <w:lang w:val="en-US" w:eastAsia="zh-CN" w:bidi="ar-SA"/>
    </w:rPr>
  </w:style>
  <w:style w:type="character" w:customStyle="1" w:styleId="64">
    <w:name w:val="标题 5 字符"/>
    <w:basedOn w:val="52"/>
    <w:link w:val="7"/>
    <w:qFormat/>
    <w:uiPriority w:val="0"/>
    <w:rPr>
      <w:b/>
      <w:kern w:val="2"/>
      <w:sz w:val="28"/>
      <w:szCs w:val="24"/>
    </w:rPr>
  </w:style>
  <w:style w:type="character" w:customStyle="1" w:styleId="65">
    <w:name w:val="标题 6 字符"/>
    <w:basedOn w:val="52"/>
    <w:link w:val="9"/>
    <w:qFormat/>
    <w:uiPriority w:val="9"/>
    <w:rPr>
      <w:rFonts w:ascii="Arial" w:hAnsi="Arial" w:eastAsia="黑体"/>
      <w:b/>
      <w:kern w:val="2"/>
      <w:sz w:val="24"/>
      <w:szCs w:val="24"/>
    </w:rPr>
  </w:style>
  <w:style w:type="character" w:customStyle="1" w:styleId="66">
    <w:name w:val="标题 7 字符"/>
    <w:basedOn w:val="52"/>
    <w:link w:val="10"/>
    <w:qFormat/>
    <w:uiPriority w:val="9"/>
    <w:rPr>
      <w:b/>
      <w:kern w:val="2"/>
      <w:sz w:val="24"/>
      <w:szCs w:val="24"/>
    </w:rPr>
  </w:style>
  <w:style w:type="character" w:customStyle="1" w:styleId="67">
    <w:name w:val="标题 8 字符"/>
    <w:basedOn w:val="52"/>
    <w:link w:val="11"/>
    <w:qFormat/>
    <w:uiPriority w:val="9"/>
    <w:rPr>
      <w:rFonts w:ascii="Arial" w:hAnsi="Arial" w:eastAsia="黑体"/>
      <w:kern w:val="2"/>
      <w:sz w:val="24"/>
      <w:szCs w:val="24"/>
    </w:rPr>
  </w:style>
  <w:style w:type="character" w:customStyle="1" w:styleId="68">
    <w:name w:val="标题 9 字符"/>
    <w:basedOn w:val="52"/>
    <w:link w:val="12"/>
    <w:qFormat/>
    <w:uiPriority w:val="0"/>
    <w:rPr>
      <w:rFonts w:ascii="Arial" w:hAnsi="Arial" w:eastAsia="黑体"/>
      <w:kern w:val="2"/>
      <w:sz w:val="21"/>
      <w:szCs w:val="24"/>
    </w:rPr>
  </w:style>
  <w:style w:type="character" w:customStyle="1" w:styleId="69">
    <w:name w:val="批注文字 字符1"/>
    <w:link w:val="19"/>
    <w:qFormat/>
    <w:uiPriority w:val="99"/>
    <w:rPr>
      <w:kern w:val="2"/>
      <w:sz w:val="21"/>
      <w:szCs w:val="24"/>
    </w:rPr>
  </w:style>
  <w:style w:type="character" w:customStyle="1" w:styleId="70">
    <w:name w:val="批注主题 字符"/>
    <w:basedOn w:val="69"/>
    <w:link w:val="47"/>
    <w:qFormat/>
    <w:uiPriority w:val="0"/>
    <w:rPr>
      <w:b/>
      <w:bCs/>
      <w:kern w:val="2"/>
      <w:sz w:val="21"/>
      <w:szCs w:val="24"/>
    </w:rPr>
  </w:style>
  <w:style w:type="character" w:customStyle="1" w:styleId="71">
    <w:name w:val="正文文本 字符1"/>
    <w:basedOn w:val="52"/>
    <w:link w:val="2"/>
    <w:qFormat/>
    <w:uiPriority w:val="0"/>
    <w:rPr>
      <w:kern w:val="2"/>
      <w:sz w:val="21"/>
      <w:szCs w:val="24"/>
    </w:rPr>
  </w:style>
  <w:style w:type="character" w:customStyle="1" w:styleId="72">
    <w:name w:val="正文文本首行缩进 字符"/>
    <w:link w:val="48"/>
    <w:qFormat/>
    <w:uiPriority w:val="0"/>
    <w:rPr>
      <w:rFonts w:eastAsia="宋体"/>
      <w:kern w:val="2"/>
      <w:sz w:val="21"/>
      <w:szCs w:val="24"/>
      <w:lang w:val="en-US" w:eastAsia="zh-CN" w:bidi="ar-SA"/>
    </w:rPr>
  </w:style>
  <w:style w:type="character" w:customStyle="1" w:styleId="73">
    <w:name w:val="文档结构图 字符"/>
    <w:basedOn w:val="52"/>
    <w:link w:val="18"/>
    <w:qFormat/>
    <w:uiPriority w:val="0"/>
    <w:rPr>
      <w:kern w:val="2"/>
      <w:sz w:val="21"/>
      <w:szCs w:val="24"/>
      <w:shd w:val="clear" w:color="auto" w:fill="000080"/>
    </w:rPr>
  </w:style>
  <w:style w:type="character" w:customStyle="1" w:styleId="74">
    <w:name w:val="正文文本缩进 字符1"/>
    <w:basedOn w:val="52"/>
    <w:link w:val="21"/>
    <w:qFormat/>
    <w:uiPriority w:val="0"/>
    <w:rPr>
      <w:kern w:val="2"/>
      <w:sz w:val="21"/>
      <w:szCs w:val="24"/>
    </w:rPr>
  </w:style>
  <w:style w:type="character" w:customStyle="1" w:styleId="75">
    <w:name w:val="纯文本 字符"/>
    <w:link w:val="26"/>
    <w:qFormat/>
    <w:uiPriority w:val="0"/>
    <w:rPr>
      <w:rFonts w:ascii="宋体" w:hAnsi="Courier New" w:eastAsia="宋体"/>
      <w:kern w:val="2"/>
      <w:sz w:val="21"/>
      <w:lang w:val="en-US" w:eastAsia="zh-CN" w:bidi="ar-SA"/>
    </w:rPr>
  </w:style>
  <w:style w:type="character" w:customStyle="1" w:styleId="76">
    <w:name w:val="正文文本缩进 2 字符"/>
    <w:link w:val="29"/>
    <w:qFormat/>
    <w:uiPriority w:val="0"/>
    <w:rPr>
      <w:kern w:val="2"/>
      <w:sz w:val="21"/>
      <w:szCs w:val="24"/>
    </w:rPr>
  </w:style>
  <w:style w:type="character" w:customStyle="1" w:styleId="77">
    <w:name w:val="批注框文本 字符"/>
    <w:basedOn w:val="52"/>
    <w:link w:val="30"/>
    <w:qFormat/>
    <w:uiPriority w:val="99"/>
    <w:rPr>
      <w:kern w:val="2"/>
      <w:sz w:val="18"/>
      <w:szCs w:val="18"/>
    </w:rPr>
  </w:style>
  <w:style w:type="character" w:customStyle="1" w:styleId="78">
    <w:name w:val="页脚 字符"/>
    <w:basedOn w:val="52"/>
    <w:link w:val="31"/>
    <w:qFormat/>
    <w:uiPriority w:val="99"/>
    <w:rPr>
      <w:kern w:val="2"/>
      <w:sz w:val="18"/>
      <w:szCs w:val="18"/>
    </w:rPr>
  </w:style>
  <w:style w:type="character" w:customStyle="1" w:styleId="79">
    <w:name w:val="页眉 字符"/>
    <w:link w:val="32"/>
    <w:qFormat/>
    <w:uiPriority w:val="99"/>
    <w:rPr>
      <w:kern w:val="2"/>
      <w:sz w:val="18"/>
      <w:szCs w:val="18"/>
    </w:rPr>
  </w:style>
  <w:style w:type="character" w:customStyle="1" w:styleId="80">
    <w:name w:val="HTML 预设格式 字符"/>
    <w:link w:val="44"/>
    <w:qFormat/>
    <w:uiPriority w:val="0"/>
    <w:rPr>
      <w:rFonts w:ascii="宋体" w:hAnsi="宋体" w:cs="宋体"/>
      <w:sz w:val="24"/>
      <w:szCs w:val="24"/>
    </w:rPr>
  </w:style>
  <w:style w:type="character" w:customStyle="1" w:styleId="81">
    <w:name w:val="标题 字符"/>
    <w:link w:val="46"/>
    <w:qFormat/>
    <w:uiPriority w:val="0"/>
    <w:rPr>
      <w:rFonts w:ascii="Arial" w:hAnsi="Arial" w:eastAsia="隶书" w:cs="Arial"/>
      <w:b/>
      <w:bCs/>
      <w:kern w:val="2"/>
      <w:sz w:val="32"/>
      <w:szCs w:val="32"/>
    </w:rPr>
  </w:style>
  <w:style w:type="paragraph" w:customStyle="1" w:styleId="8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1 Char Char"/>
    <w:basedOn w:val="1"/>
    <w:next w:val="1"/>
    <w:link w:val="84"/>
    <w:qFormat/>
    <w:uiPriority w:val="0"/>
    <w:pPr>
      <w:spacing w:line="360" w:lineRule="auto"/>
      <w:ind w:firstLine="516" w:firstLineChars="215"/>
    </w:pPr>
    <w:rPr>
      <w:sz w:val="24"/>
      <w:szCs w:val="20"/>
    </w:rPr>
  </w:style>
  <w:style w:type="character" w:customStyle="1" w:styleId="84">
    <w:name w:val="样式1 Char Char Char"/>
    <w:link w:val="83"/>
    <w:qFormat/>
    <w:uiPriority w:val="0"/>
    <w:rPr>
      <w:rFonts w:eastAsia="宋体"/>
      <w:kern w:val="2"/>
      <w:sz w:val="24"/>
      <w:lang w:val="en-US" w:eastAsia="zh-CN" w:bidi="ar-SA"/>
    </w:rPr>
  </w:style>
  <w:style w:type="paragraph" w:customStyle="1" w:styleId="85">
    <w:name w:val="样式1"/>
    <w:basedOn w:val="46"/>
    <w:link w:val="86"/>
    <w:qFormat/>
    <w:uiPriority w:val="0"/>
    <w:pPr>
      <w:spacing w:before="120" w:after="120"/>
    </w:pPr>
    <w:rPr>
      <w:rFonts w:eastAsia="黑体" w:cs="Arial"/>
      <w:b w:val="0"/>
      <w:sz w:val="30"/>
      <w:szCs w:val="21"/>
    </w:rPr>
  </w:style>
  <w:style w:type="character" w:customStyle="1" w:styleId="86">
    <w:name w:val="样式1 Char"/>
    <w:link w:val="85"/>
    <w:qFormat/>
    <w:uiPriority w:val="0"/>
    <w:rPr>
      <w:rFonts w:ascii="Arial" w:hAnsi="Arial" w:eastAsia="黑体" w:cs="Arial"/>
      <w:bCs/>
      <w:kern w:val="2"/>
      <w:sz w:val="30"/>
      <w:szCs w:val="21"/>
      <w:lang w:val="en-US" w:eastAsia="zh-CN" w:bidi="ar-SA"/>
    </w:rPr>
  </w:style>
  <w:style w:type="paragraph" w:customStyle="1" w:styleId="87">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qFormat/>
    <w:uiPriority w:val="0"/>
    <w:rPr>
      <w:rFonts w:ascii="仿宋_GB2312" w:eastAsia="仿宋_GB2312"/>
      <w:b/>
      <w:sz w:val="32"/>
      <w:szCs w:val="32"/>
    </w:rPr>
  </w:style>
  <w:style w:type="character" w:customStyle="1" w:styleId="91">
    <w:name w:val="tpc_title1"/>
    <w:qFormat/>
    <w:uiPriority w:val="0"/>
    <w:rPr>
      <w:b/>
      <w:bCs/>
      <w:sz w:val="18"/>
      <w:szCs w:val="18"/>
    </w:rPr>
  </w:style>
  <w:style w:type="character" w:customStyle="1" w:styleId="92">
    <w:name w:val="tpc_content1"/>
    <w:qFormat/>
    <w:uiPriority w:val="0"/>
    <w:rPr>
      <w:sz w:val="20"/>
      <w:szCs w:val="20"/>
    </w:rPr>
  </w:style>
  <w:style w:type="paragraph" w:customStyle="1" w:styleId="9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qFormat/>
    <w:uiPriority w:val="0"/>
    <w:pPr>
      <w:ind w:firstLine="420" w:firstLineChars="200"/>
    </w:pPr>
  </w:style>
  <w:style w:type="character" w:customStyle="1" w:styleId="95">
    <w:name w:val="列表段落 字符"/>
    <w:link w:val="94"/>
    <w:qFormat/>
    <w:uiPriority w:val="34"/>
    <w:rPr>
      <w:kern w:val="2"/>
      <w:sz w:val="21"/>
      <w:szCs w:val="24"/>
    </w:rPr>
  </w:style>
  <w:style w:type="paragraph" w:customStyle="1" w:styleId="96">
    <w:name w:val="正文1"/>
    <w:basedOn w:val="1"/>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98">
    <w:name w:val="缩进正文"/>
    <w:basedOn w:val="1"/>
    <w:link w:val="99"/>
    <w:qFormat/>
    <w:uiPriority w:val="0"/>
    <w:pPr>
      <w:ind w:firstLine="560" w:firstLineChars="200"/>
    </w:pPr>
    <w:rPr>
      <w:rFonts w:eastAsia="仿宋_GB2312" w:cs="宋体"/>
      <w:sz w:val="28"/>
      <w:szCs w:val="20"/>
    </w:rPr>
  </w:style>
  <w:style w:type="character" w:customStyle="1" w:styleId="99">
    <w:name w:val="缩进正文 Char"/>
    <w:link w:val="98"/>
    <w:qFormat/>
    <w:uiPriority w:val="0"/>
    <w:rPr>
      <w:rFonts w:eastAsia="仿宋_GB2312" w:cs="宋体"/>
      <w:kern w:val="2"/>
      <w:sz w:val="28"/>
      <w:lang w:val="en-US" w:eastAsia="zh-CN" w:bidi="ar-SA"/>
    </w:rPr>
  </w:style>
  <w:style w:type="character" w:customStyle="1" w:styleId="100">
    <w:name w:val="访问过的超链接1"/>
    <w:qFormat/>
    <w:uiPriority w:val="0"/>
    <w:rPr>
      <w:color w:val="800080"/>
      <w:u w:val="single"/>
    </w:rPr>
  </w:style>
  <w:style w:type="paragraph" w:customStyle="1" w:styleId="101">
    <w:name w:val="Char Char Char Char Char Char Char"/>
    <w:basedOn w:val="1"/>
    <w:qFormat/>
    <w:uiPriority w:val="0"/>
    <w:pPr>
      <w:widowControl/>
      <w:adjustRightInd w:val="0"/>
      <w:spacing w:after="160" w:line="240" w:lineRule="exact"/>
      <w:jc w:val="left"/>
      <w:textAlignment w:val="baseline"/>
    </w:pPr>
  </w:style>
  <w:style w:type="character" w:customStyle="1" w:styleId="102">
    <w:name w:val="正文缩进 Char1"/>
    <w:qFormat/>
    <w:uiPriority w:val="0"/>
    <w:rPr>
      <w:rFonts w:eastAsia="宋体"/>
      <w:kern w:val="2"/>
      <w:sz w:val="21"/>
      <w:lang w:val="en-US" w:eastAsia="zh-CN" w:bidi="ar-SA"/>
    </w:rPr>
  </w:style>
  <w:style w:type="paragraph" w:customStyle="1" w:styleId="103">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4">
    <w:name w:val="列出段落11"/>
    <w:basedOn w:val="1"/>
    <w:unhideWhenUsed/>
    <w:qFormat/>
    <w:uiPriority w:val="34"/>
    <w:pPr>
      <w:ind w:firstLine="420" w:firstLineChars="200"/>
    </w:pPr>
  </w:style>
  <w:style w:type="paragraph" w:customStyle="1" w:styleId="105">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6">
    <w:name w:val="font11"/>
    <w:basedOn w:val="52"/>
    <w:qFormat/>
    <w:uiPriority w:val="0"/>
    <w:rPr>
      <w:rFonts w:hint="eastAsia" w:ascii="宋体" w:hAnsi="宋体" w:eastAsia="宋体" w:cs="宋体"/>
      <w:b/>
      <w:color w:val="000000"/>
      <w:sz w:val="21"/>
      <w:szCs w:val="21"/>
      <w:u w:val="none"/>
    </w:rPr>
  </w:style>
  <w:style w:type="character" w:customStyle="1" w:styleId="107">
    <w:name w:val="批注文字 Char1"/>
    <w:qFormat/>
    <w:locked/>
    <w:uiPriority w:val="0"/>
    <w:rPr>
      <w:rFonts w:ascii="Calibri" w:hAnsi="Calibri" w:eastAsia="宋体" w:cs="Calibri"/>
      <w:szCs w:val="21"/>
    </w:rPr>
  </w:style>
  <w:style w:type="character" w:customStyle="1" w:styleId="108">
    <w:name w:val="title1"/>
    <w:qFormat/>
    <w:uiPriority w:val="0"/>
    <w:rPr>
      <w:rFonts w:hint="eastAsia" w:ascii="微软雅黑" w:hAnsi="微软雅黑" w:eastAsia="微软雅黑"/>
      <w:sz w:val="21"/>
      <w:szCs w:val="21"/>
    </w:rPr>
  </w:style>
  <w:style w:type="character" w:customStyle="1" w:styleId="109">
    <w:name w:val="sect2title1"/>
    <w:qFormat/>
    <w:uiPriority w:val="0"/>
    <w:rPr>
      <w:rFonts w:hint="eastAsia" w:ascii="微软雅黑" w:hAnsi="微软雅黑" w:eastAsia="微软雅黑"/>
      <w:b/>
      <w:bCs/>
      <w:sz w:val="21"/>
      <w:szCs w:val="21"/>
    </w:rPr>
  </w:style>
  <w:style w:type="paragraph" w:customStyle="1" w:styleId="110">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qFormat/>
    <w:uiPriority w:val="0"/>
    <w:rPr>
      <w:rFonts w:ascii="Tahoma" w:hAnsi="Tahoma" w:eastAsia="Tahoma" w:cs="Tahoma"/>
      <w:color w:val="000000"/>
      <w:sz w:val="20"/>
      <w:szCs w:val="20"/>
      <w:u w:val="none"/>
    </w:rPr>
  </w:style>
  <w:style w:type="paragraph" w:customStyle="1" w:styleId="112">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qFormat/>
    <w:uiPriority w:val="0"/>
    <w:rPr>
      <w:rFonts w:hint="eastAsia" w:ascii="仿宋_GB2312" w:eastAsia="仿宋_GB2312" w:cs="仿宋_GB2312"/>
      <w:color w:val="000000"/>
      <w:sz w:val="20"/>
      <w:szCs w:val="20"/>
      <w:u w:val="none"/>
    </w:rPr>
  </w:style>
  <w:style w:type="character" w:customStyle="1" w:styleId="167">
    <w:name w:val="font31"/>
    <w:basedOn w:val="52"/>
    <w:qFormat/>
    <w:uiPriority w:val="0"/>
    <w:rPr>
      <w:rFonts w:hint="default" w:ascii="Symbol" w:hAnsi="Symbol" w:cs="Symbol"/>
      <w:color w:val="000000"/>
      <w:sz w:val="20"/>
      <w:szCs w:val="20"/>
      <w:u w:val="none"/>
    </w:rPr>
  </w:style>
  <w:style w:type="character" w:customStyle="1" w:styleId="168">
    <w:name w:val="font71"/>
    <w:basedOn w:val="52"/>
    <w:qFormat/>
    <w:uiPriority w:val="0"/>
    <w:rPr>
      <w:rFonts w:ascii="Arial" w:hAnsi="Arial" w:cs="Arial"/>
      <w:color w:val="000000"/>
      <w:sz w:val="20"/>
      <w:szCs w:val="20"/>
      <w:u w:val="none"/>
    </w:rPr>
  </w:style>
  <w:style w:type="character" w:customStyle="1" w:styleId="169">
    <w:name w:val="font21"/>
    <w:basedOn w:val="52"/>
    <w:qFormat/>
    <w:uiPriority w:val="0"/>
    <w:rPr>
      <w:rFonts w:hint="default" w:ascii="Symbol" w:hAnsi="Symbol" w:cs="Symbol"/>
      <w:color w:val="000000"/>
      <w:sz w:val="20"/>
      <w:szCs w:val="20"/>
      <w:u w:val="none"/>
    </w:rPr>
  </w:style>
  <w:style w:type="character" w:customStyle="1" w:styleId="170">
    <w:name w:val="font91"/>
    <w:basedOn w:val="52"/>
    <w:qFormat/>
    <w:uiPriority w:val="0"/>
    <w:rPr>
      <w:rFonts w:ascii="Arial" w:hAnsi="Arial" w:cs="Arial"/>
      <w:color w:val="000000"/>
      <w:sz w:val="20"/>
      <w:szCs w:val="20"/>
      <w:u w:val="none"/>
    </w:rPr>
  </w:style>
  <w:style w:type="character" w:customStyle="1" w:styleId="171">
    <w:name w:val="font51"/>
    <w:basedOn w:val="52"/>
    <w:qFormat/>
    <w:uiPriority w:val="0"/>
    <w:rPr>
      <w:rFonts w:ascii="仿宋" w:hAnsi="仿宋" w:eastAsia="仿宋" w:cs="仿宋"/>
      <w:color w:val="000000"/>
      <w:sz w:val="21"/>
      <w:szCs w:val="21"/>
      <w:u w:val="none"/>
    </w:rPr>
  </w:style>
  <w:style w:type="character" w:customStyle="1" w:styleId="172">
    <w:name w:val="font101"/>
    <w:basedOn w:val="52"/>
    <w:qFormat/>
    <w:uiPriority w:val="0"/>
    <w:rPr>
      <w:rFonts w:hint="eastAsia" w:ascii="仿宋_GB2312" w:eastAsia="仿宋_GB2312" w:cs="仿宋_GB2312"/>
      <w:color w:val="000000"/>
      <w:sz w:val="20"/>
      <w:szCs w:val="20"/>
      <w:u w:val="none"/>
    </w:rPr>
  </w:style>
  <w:style w:type="character" w:customStyle="1" w:styleId="173">
    <w:name w:val="font61"/>
    <w:basedOn w:val="52"/>
    <w:qFormat/>
    <w:uiPriority w:val="0"/>
    <w:rPr>
      <w:rFonts w:hint="eastAsia" w:ascii="宋体" w:hAnsi="宋体" w:eastAsia="宋体" w:cs="宋体"/>
      <w:color w:val="000000"/>
      <w:sz w:val="20"/>
      <w:szCs w:val="20"/>
      <w:u w:val="none"/>
    </w:rPr>
  </w:style>
  <w:style w:type="character" w:customStyle="1" w:styleId="174">
    <w:name w:val="font81"/>
    <w:basedOn w:val="52"/>
    <w:qFormat/>
    <w:uiPriority w:val="0"/>
    <w:rPr>
      <w:rFonts w:hint="eastAsia" w:ascii="仿宋" w:hAnsi="仿宋" w:eastAsia="仿宋" w:cs="仿宋"/>
      <w:color w:val="000000"/>
      <w:sz w:val="21"/>
      <w:szCs w:val="21"/>
      <w:u w:val="none"/>
    </w:rPr>
  </w:style>
  <w:style w:type="character" w:customStyle="1" w:styleId="175">
    <w:name w:val="font111"/>
    <w:basedOn w:val="52"/>
    <w:qFormat/>
    <w:uiPriority w:val="0"/>
    <w:rPr>
      <w:rFonts w:hint="eastAsia" w:ascii="仿宋_GB2312" w:eastAsia="仿宋_GB2312" w:cs="仿宋_GB2312"/>
      <w:color w:val="000000"/>
      <w:sz w:val="21"/>
      <w:szCs w:val="21"/>
      <w:u w:val="none"/>
    </w:rPr>
  </w:style>
  <w:style w:type="character" w:customStyle="1" w:styleId="176">
    <w:name w:val="font121"/>
    <w:basedOn w:val="52"/>
    <w:qFormat/>
    <w:uiPriority w:val="0"/>
    <w:rPr>
      <w:rFonts w:ascii="Arial" w:hAnsi="Arial" w:cs="Arial"/>
      <w:color w:val="000000"/>
      <w:sz w:val="20"/>
      <w:szCs w:val="20"/>
      <w:u w:val="none"/>
    </w:rPr>
  </w:style>
  <w:style w:type="character" w:customStyle="1" w:styleId="177">
    <w:name w:val="font112"/>
    <w:basedOn w:val="52"/>
    <w:qFormat/>
    <w:uiPriority w:val="0"/>
    <w:rPr>
      <w:rFonts w:hint="eastAsia" w:ascii="仿宋_GB2312" w:eastAsia="仿宋_GB2312" w:cs="仿宋_GB2312"/>
      <w:color w:val="000000"/>
      <w:sz w:val="21"/>
      <w:szCs w:val="21"/>
      <w:u w:val="none"/>
    </w:rPr>
  </w:style>
  <w:style w:type="paragraph" w:customStyle="1" w:styleId="178">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qFormat/>
    <w:uiPriority w:val="0"/>
    <w:pPr>
      <w:spacing w:beforeLines="50"/>
      <w:ind w:firstLine="200" w:firstLineChars="200"/>
    </w:pPr>
    <w:rPr>
      <w:rFonts w:ascii="Calibri" w:hAnsi="Calibri" w:eastAsia="华文仿宋"/>
      <w:szCs w:val="22"/>
    </w:rPr>
  </w:style>
  <w:style w:type="paragraph" w:customStyle="1" w:styleId="256">
    <w:name w:val="正文A缩进"/>
    <w:basedOn w:val="1"/>
    <w:qFormat/>
    <w:uiPriority w:val="0"/>
    <w:pPr>
      <w:spacing w:line="360" w:lineRule="auto"/>
      <w:ind w:firstLine="200" w:firstLineChars="200"/>
    </w:pPr>
    <w:rPr>
      <w:kern w:val="0"/>
      <w:sz w:val="28"/>
      <w:szCs w:val="20"/>
    </w:rPr>
  </w:style>
  <w:style w:type="paragraph" w:customStyle="1" w:styleId="257">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8">
    <w:name w:val="标题 5 Char"/>
    <w:basedOn w:val="52"/>
    <w:qFormat/>
    <w:uiPriority w:val="0"/>
    <w:rPr>
      <w:b/>
      <w:bCs/>
      <w:kern w:val="2"/>
      <w:sz w:val="28"/>
      <w:szCs w:val="28"/>
    </w:rPr>
  </w:style>
  <w:style w:type="character" w:customStyle="1" w:styleId="259">
    <w:name w:val="标题 6 Char"/>
    <w:basedOn w:val="52"/>
    <w:qFormat/>
    <w:uiPriority w:val="9"/>
    <w:rPr>
      <w:rFonts w:asciiTheme="majorHAnsi" w:hAnsiTheme="majorHAnsi" w:eastAsiaTheme="majorEastAsia" w:cstheme="majorBidi"/>
      <w:b/>
      <w:bCs/>
      <w:kern w:val="2"/>
      <w:sz w:val="24"/>
      <w:szCs w:val="24"/>
    </w:rPr>
  </w:style>
  <w:style w:type="character" w:customStyle="1" w:styleId="260">
    <w:name w:val="标题 7 Char"/>
    <w:basedOn w:val="52"/>
    <w:qFormat/>
    <w:uiPriority w:val="9"/>
    <w:rPr>
      <w:b/>
      <w:bCs/>
      <w:kern w:val="2"/>
      <w:sz w:val="24"/>
      <w:szCs w:val="24"/>
    </w:rPr>
  </w:style>
  <w:style w:type="character" w:customStyle="1" w:styleId="261">
    <w:name w:val="标题 8 Char"/>
    <w:basedOn w:val="52"/>
    <w:qFormat/>
    <w:uiPriority w:val="9"/>
    <w:rPr>
      <w:rFonts w:asciiTheme="majorHAnsi" w:hAnsiTheme="majorHAnsi" w:eastAsiaTheme="majorEastAsia" w:cstheme="majorBidi"/>
      <w:kern w:val="2"/>
      <w:sz w:val="24"/>
      <w:szCs w:val="24"/>
    </w:rPr>
  </w:style>
  <w:style w:type="character" w:customStyle="1" w:styleId="262">
    <w:name w:val="标题 9 Char"/>
    <w:basedOn w:val="52"/>
    <w:qFormat/>
    <w:uiPriority w:val="0"/>
    <w:rPr>
      <w:rFonts w:asciiTheme="majorHAnsi" w:hAnsiTheme="majorHAnsi" w:eastAsiaTheme="majorEastAsia" w:cstheme="majorBidi"/>
      <w:kern w:val="2"/>
      <w:sz w:val="21"/>
      <w:szCs w:val="21"/>
    </w:rPr>
  </w:style>
  <w:style w:type="paragraph" w:customStyle="1" w:styleId="263">
    <w:name w:val="！表格内容"/>
    <w:basedOn w:val="1"/>
    <w:qFormat/>
    <w:uiPriority w:val="0"/>
    <w:pPr>
      <w:spacing w:line="320" w:lineRule="atLeast"/>
    </w:pPr>
  </w:style>
  <w:style w:type="character" w:customStyle="1" w:styleId="264">
    <w:name w:val="页眉 Char2"/>
    <w:basedOn w:val="52"/>
    <w:qFormat/>
    <w:uiPriority w:val="99"/>
    <w:rPr>
      <w:rFonts w:ascii="Times New Roman" w:hAnsi="Times New Roman" w:eastAsia="宋体" w:cs="Times New Roman"/>
      <w:sz w:val="18"/>
      <w:szCs w:val="18"/>
    </w:rPr>
  </w:style>
  <w:style w:type="character" w:customStyle="1" w:styleId="265">
    <w:name w:val="页脚 Char1"/>
    <w:basedOn w:val="52"/>
    <w:qFormat/>
    <w:uiPriority w:val="99"/>
    <w:rPr>
      <w:rFonts w:ascii="Times New Roman" w:hAnsi="Times New Roman" w:eastAsia="宋体" w:cs="Times New Roman"/>
      <w:sz w:val="18"/>
      <w:szCs w:val="18"/>
    </w:rPr>
  </w:style>
  <w:style w:type="paragraph" w:customStyle="1" w:styleId="266">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qFormat/>
    <w:uiPriority w:val="99"/>
    <w:rPr>
      <w:rFonts w:ascii="Times New Roman" w:hAnsi="Times New Roman" w:eastAsia="宋体" w:cs="Times New Roman"/>
      <w:szCs w:val="24"/>
    </w:rPr>
  </w:style>
  <w:style w:type="character" w:customStyle="1" w:styleId="268">
    <w:name w:val="文档结构图 Char1"/>
    <w:basedOn w:val="52"/>
    <w:qFormat/>
    <w:uiPriority w:val="0"/>
    <w:rPr>
      <w:rFonts w:ascii="宋体" w:hAnsi="Times New Roman" w:eastAsia="宋体" w:cs="Times New Roman"/>
      <w:sz w:val="18"/>
      <w:szCs w:val="18"/>
    </w:rPr>
  </w:style>
  <w:style w:type="character" w:customStyle="1" w:styleId="269">
    <w:name w:val="批注主题 Char1"/>
    <w:basedOn w:val="107"/>
    <w:qFormat/>
    <w:uiPriority w:val="0"/>
    <w:rPr>
      <w:rFonts w:ascii="Times New Roman" w:hAnsi="Times New Roman" w:eastAsia="宋体" w:cs="Times New Roman"/>
      <w:b/>
      <w:bCs/>
      <w:szCs w:val="24"/>
    </w:rPr>
  </w:style>
  <w:style w:type="character" w:customStyle="1" w:styleId="270">
    <w:name w:val="批注框文本 Char1"/>
    <w:basedOn w:val="52"/>
    <w:qFormat/>
    <w:uiPriority w:val="0"/>
    <w:rPr>
      <w:rFonts w:ascii="Times New Roman" w:hAnsi="Times New Roman" w:eastAsia="宋体" w:cs="Times New Roman"/>
      <w:sz w:val="18"/>
      <w:szCs w:val="18"/>
    </w:rPr>
  </w:style>
  <w:style w:type="character" w:customStyle="1" w:styleId="271">
    <w:name w:val="标题 1 Char1"/>
    <w:basedOn w:val="52"/>
    <w:qFormat/>
    <w:uiPriority w:val="0"/>
    <w:rPr>
      <w:b/>
      <w:bCs/>
      <w:kern w:val="44"/>
      <w:sz w:val="44"/>
      <w:szCs w:val="44"/>
    </w:rPr>
  </w:style>
  <w:style w:type="character" w:customStyle="1" w:styleId="272">
    <w:name w:val="标题 2 Char1"/>
    <w:basedOn w:val="52"/>
    <w:qFormat/>
    <w:uiPriority w:val="0"/>
    <w:rPr>
      <w:rFonts w:asciiTheme="majorHAnsi" w:hAnsiTheme="majorHAnsi" w:eastAsiaTheme="majorEastAsia" w:cstheme="majorBidi"/>
      <w:b/>
      <w:bCs/>
      <w:kern w:val="2"/>
      <w:sz w:val="32"/>
      <w:szCs w:val="32"/>
    </w:rPr>
  </w:style>
  <w:style w:type="character" w:customStyle="1" w:styleId="273">
    <w:name w:val="标题 3 Char1"/>
    <w:basedOn w:val="52"/>
    <w:qFormat/>
    <w:uiPriority w:val="99"/>
    <w:rPr>
      <w:rFonts w:ascii="宋体" w:hAnsi="Arial"/>
      <w:b/>
      <w:kern w:val="2"/>
      <w:sz w:val="28"/>
    </w:rPr>
  </w:style>
  <w:style w:type="character" w:customStyle="1" w:styleId="274">
    <w:name w:val="Char Char3"/>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qFormat/>
    <w:uiPriority w:val="0"/>
    <w:rPr>
      <w:rFonts w:eastAsia="Times New Roman"/>
      <w:sz w:val="24"/>
      <w:szCs w:val="24"/>
    </w:rPr>
  </w:style>
  <w:style w:type="paragraph" w:customStyle="1" w:styleId="276">
    <w:name w:val="正文－段落"/>
    <w:link w:val="275"/>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qFormat/>
    <w:uiPriority w:val="0"/>
    <w:rPr>
      <w:rFonts w:ascii="宋体" w:hAnsi="Courier New"/>
      <w:spacing w:val="-8"/>
      <w:kern w:val="2"/>
      <w:sz w:val="24"/>
    </w:rPr>
  </w:style>
  <w:style w:type="character" w:customStyle="1" w:styleId="278">
    <w:name w:val="日期 Char"/>
    <w:qFormat/>
    <w:uiPriority w:val="0"/>
    <w:rPr>
      <w:rFonts w:ascii="宋体" w:hAnsi="宋体"/>
      <w:sz w:val="24"/>
    </w:rPr>
  </w:style>
  <w:style w:type="character" w:customStyle="1" w:styleId="279">
    <w:name w:val="Char Char9"/>
    <w:qFormat/>
    <w:uiPriority w:val="0"/>
    <w:rPr>
      <w:rFonts w:hint="default" w:ascii="Calibri" w:hAnsi="Calibri" w:eastAsia="宋体"/>
      <w:sz w:val="18"/>
      <w:szCs w:val="18"/>
      <w:lang w:bidi="ar-SA"/>
    </w:rPr>
  </w:style>
  <w:style w:type="character" w:customStyle="1" w:styleId="280">
    <w:name w:val="Char Char17"/>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qFormat/>
    <w:uiPriority w:val="0"/>
    <w:rPr>
      <w:rFonts w:ascii="黑体" w:hAnsi="Courier New" w:eastAsia="黑体" w:cs="Courier New"/>
    </w:rPr>
  </w:style>
  <w:style w:type="character" w:customStyle="1" w:styleId="282">
    <w:name w:val="1.5倍行距 Char Char"/>
    <w:link w:val="283"/>
    <w:qFormat/>
    <w:uiPriority w:val="0"/>
    <w:rPr>
      <w:kern w:val="2"/>
      <w:sz w:val="21"/>
      <w:szCs w:val="24"/>
    </w:rPr>
  </w:style>
  <w:style w:type="paragraph" w:customStyle="1" w:styleId="283">
    <w:name w:val="1.5倍行距"/>
    <w:basedOn w:val="1"/>
    <w:link w:val="282"/>
    <w:qFormat/>
    <w:uiPriority w:val="0"/>
    <w:pPr>
      <w:spacing w:line="360" w:lineRule="auto"/>
      <w:ind w:firstLine="420"/>
    </w:pPr>
  </w:style>
  <w:style w:type="character" w:customStyle="1" w:styleId="284">
    <w:name w:val="H2 Char1"/>
    <w:qFormat/>
    <w:uiPriority w:val="0"/>
    <w:rPr>
      <w:rFonts w:ascii="Cambria" w:hAnsi="Cambria"/>
      <w:b/>
      <w:bCs/>
      <w:sz w:val="32"/>
      <w:szCs w:val="32"/>
    </w:rPr>
  </w:style>
  <w:style w:type="character" w:customStyle="1" w:styleId="285">
    <w:name w:val="Char Char4"/>
    <w:qFormat/>
    <w:uiPriority w:val="0"/>
    <w:rPr>
      <w:rFonts w:hint="default" w:ascii="Calibri" w:hAnsi="Calibri" w:eastAsia="宋体"/>
      <w:kern w:val="2"/>
      <w:sz w:val="21"/>
      <w:szCs w:val="22"/>
      <w:lang w:val="en-US" w:eastAsia="zh-CN" w:bidi="ar-SA"/>
    </w:rPr>
  </w:style>
  <w:style w:type="character" w:customStyle="1" w:styleId="286">
    <w:name w:val="正文文本缩进 2 Char"/>
    <w:qFormat/>
    <w:uiPriority w:val="0"/>
    <w:rPr>
      <w:kern w:val="2"/>
      <w:sz w:val="21"/>
    </w:rPr>
  </w:style>
  <w:style w:type="character" w:customStyle="1" w:styleId="287">
    <w:name w:val="签名 字符"/>
    <w:link w:val="33"/>
    <w:qFormat/>
    <w:uiPriority w:val="0"/>
    <w:rPr>
      <w:rFonts w:eastAsia="楷体_GB2312"/>
      <w:kern w:val="2"/>
      <w:sz w:val="21"/>
    </w:rPr>
  </w:style>
  <w:style w:type="character" w:customStyle="1" w:styleId="288">
    <w:name w:val="标题2 Char"/>
    <w:link w:val="289"/>
    <w:qFormat/>
    <w:uiPriority w:val="0"/>
    <w:rPr>
      <w:rFonts w:ascii="仿宋" w:hAnsi="仿宋" w:eastAsia="仿宋"/>
      <w:b/>
      <w:bCs/>
      <w:color w:val="000000"/>
      <w:kern w:val="2"/>
      <w:sz w:val="24"/>
      <w:szCs w:val="24"/>
    </w:rPr>
  </w:style>
  <w:style w:type="paragraph" w:customStyle="1" w:styleId="289">
    <w:name w:val="标题2"/>
    <w:basedOn w:val="290"/>
    <w:link w:val="288"/>
    <w:qFormat/>
    <w:uiPriority w:val="0"/>
    <w:pPr>
      <w:tabs>
        <w:tab w:val="left" w:pos="425"/>
        <w:tab w:val="left" w:pos="709"/>
        <w:tab w:val="left" w:pos="851"/>
        <w:tab w:val="left" w:pos="1419"/>
      </w:tabs>
    </w:pPr>
    <w:rPr>
      <w:szCs w:val="24"/>
    </w:rPr>
  </w:style>
  <w:style w:type="paragraph" w:customStyle="1" w:styleId="290">
    <w:name w:val="三级"/>
    <w:basedOn w:val="5"/>
    <w:link w:val="291"/>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qFormat/>
    <w:uiPriority w:val="0"/>
    <w:rPr>
      <w:rFonts w:ascii="仿宋" w:hAnsi="仿宋" w:eastAsia="仿宋"/>
      <w:b/>
      <w:bCs/>
      <w:color w:val="000000"/>
      <w:kern w:val="2"/>
      <w:sz w:val="32"/>
      <w:szCs w:val="32"/>
    </w:rPr>
  </w:style>
  <w:style w:type="character" w:customStyle="1" w:styleId="292">
    <w:name w:val="正文文本首行缩进 2 字符"/>
    <w:link w:val="49"/>
    <w:qFormat/>
    <w:uiPriority w:val="0"/>
    <w:rPr>
      <w:sz w:val="24"/>
      <w:szCs w:val="24"/>
    </w:rPr>
  </w:style>
  <w:style w:type="character" w:customStyle="1" w:styleId="293">
    <w:name w:val="正文首行缩进 Char Char Char1"/>
    <w:qFormat/>
    <w:uiPriority w:val="0"/>
    <w:rPr>
      <w:rFonts w:ascii="Times New Roman" w:hAnsi="Times New Roman"/>
      <w:kern w:val="2"/>
      <w:sz w:val="24"/>
      <w:szCs w:val="24"/>
    </w:rPr>
  </w:style>
  <w:style w:type="character" w:customStyle="1" w:styleId="294">
    <w:name w:val="标题 Char1"/>
    <w:qFormat/>
    <w:uiPriority w:val="0"/>
    <w:rPr>
      <w:rFonts w:ascii="Arial" w:hAnsi="Arial"/>
      <w:b/>
      <w:kern w:val="2"/>
      <w:sz w:val="36"/>
      <w:szCs w:val="24"/>
    </w:rPr>
  </w:style>
  <w:style w:type="character" w:customStyle="1" w:styleId="295">
    <w:name w:val="正文文本 字符"/>
    <w:qFormat/>
    <w:uiPriority w:val="0"/>
    <w:rPr>
      <w:rFonts w:eastAsia="宋体"/>
      <w:kern w:val="2"/>
      <w:sz w:val="21"/>
      <w:szCs w:val="24"/>
      <w:lang w:bidi="ar-SA"/>
    </w:rPr>
  </w:style>
  <w:style w:type="character" w:customStyle="1" w:styleId="296">
    <w:name w:val="正文文本缩进 Char"/>
    <w:qFormat/>
    <w:uiPriority w:val="0"/>
    <w:rPr>
      <w:kern w:val="2"/>
      <w:sz w:val="24"/>
    </w:rPr>
  </w:style>
  <w:style w:type="character" w:customStyle="1" w:styleId="297">
    <w:name w:val="题注 字符"/>
    <w:link w:val="16"/>
    <w:qFormat/>
    <w:uiPriority w:val="0"/>
    <w:rPr>
      <w:rFonts w:ascii="Cambria" w:hAnsi="Cambria" w:eastAsia="黑体"/>
      <w:kern w:val="2"/>
      <w:sz w:val="21"/>
      <w:szCs w:val="24"/>
    </w:rPr>
  </w:style>
  <w:style w:type="character" w:customStyle="1" w:styleId="298">
    <w:name w:val="bt Char1"/>
    <w:qFormat/>
    <w:uiPriority w:val="0"/>
    <w:rPr>
      <w:rFonts w:ascii="Times New Roman" w:hAnsi="Times New Roman"/>
      <w:kern w:val="2"/>
      <w:sz w:val="24"/>
      <w:szCs w:val="24"/>
    </w:rPr>
  </w:style>
  <w:style w:type="character" w:customStyle="1" w:styleId="299">
    <w:name w:val="Char Char18"/>
    <w:qFormat/>
    <w:uiPriority w:val="0"/>
    <w:rPr>
      <w:rFonts w:hint="default" w:ascii="Cambria" w:hAnsi="Cambria" w:eastAsia="宋体"/>
      <w:b/>
      <w:bCs/>
      <w:sz w:val="32"/>
      <w:szCs w:val="32"/>
      <w:lang w:bidi="ar-SA"/>
    </w:rPr>
  </w:style>
  <w:style w:type="character" w:customStyle="1" w:styleId="300">
    <w:name w:val="四级 Char"/>
    <w:link w:val="301"/>
    <w:qFormat/>
    <w:uiPriority w:val="0"/>
    <w:rPr>
      <w:rFonts w:ascii="仿宋" w:hAnsi="仿宋" w:eastAsia="仿宋"/>
      <w:bCs/>
      <w:kern w:val="2"/>
      <w:sz w:val="32"/>
      <w:szCs w:val="32"/>
    </w:rPr>
  </w:style>
  <w:style w:type="paragraph" w:customStyle="1" w:styleId="301">
    <w:name w:val="四级"/>
    <w:basedOn w:val="6"/>
    <w:link w:val="300"/>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qFormat/>
    <w:uiPriority w:val="0"/>
  </w:style>
  <w:style w:type="character" w:customStyle="1" w:styleId="303">
    <w:name w:val="p141"/>
    <w:qFormat/>
    <w:uiPriority w:val="0"/>
    <w:rPr>
      <w:sz w:val="21"/>
      <w:szCs w:val="21"/>
    </w:rPr>
  </w:style>
  <w:style w:type="character" w:customStyle="1" w:styleId="304">
    <w:name w:val="正文文本缩进 3 Char"/>
    <w:qFormat/>
    <w:uiPriority w:val="0"/>
    <w:rPr>
      <w:kern w:val="2"/>
      <w:sz w:val="21"/>
    </w:rPr>
  </w:style>
  <w:style w:type="character" w:customStyle="1" w:styleId="305">
    <w:name w:val="Char Char13"/>
    <w:qFormat/>
    <w:uiPriority w:val="0"/>
    <w:rPr>
      <w:rFonts w:ascii="Cambria" w:hAnsi="Cambria" w:eastAsia="宋体"/>
      <w:sz w:val="24"/>
      <w:szCs w:val="24"/>
      <w:lang w:bidi="ar-SA"/>
    </w:rPr>
  </w:style>
  <w:style w:type="character" w:customStyle="1" w:styleId="306">
    <w:name w:val="正文文本 2 字符"/>
    <w:link w:val="43"/>
    <w:qFormat/>
    <w:uiPriority w:val="0"/>
    <w:rPr>
      <w:kern w:val="2"/>
      <w:sz w:val="28"/>
    </w:rPr>
  </w:style>
  <w:style w:type="character" w:customStyle="1" w:styleId="307">
    <w:name w:val="Char Char5"/>
    <w:qFormat/>
    <w:uiPriority w:val="0"/>
    <w:rPr>
      <w:rFonts w:ascii="宋体" w:hAnsi="宋体" w:eastAsia="宋体"/>
      <w:b/>
      <w:bCs/>
      <w:szCs w:val="24"/>
      <w:lang w:bidi="ar-SA"/>
    </w:rPr>
  </w:style>
  <w:style w:type="character" w:customStyle="1" w:styleId="308">
    <w:name w:val="正文文本 2 Char"/>
    <w:qFormat/>
    <w:uiPriority w:val="0"/>
    <w:rPr>
      <w:kern w:val="2"/>
      <w:sz w:val="28"/>
    </w:rPr>
  </w:style>
  <w:style w:type="character" w:customStyle="1" w:styleId="309">
    <w:name w:val="Char Char6"/>
    <w:qFormat/>
    <w:uiPriority w:val="0"/>
    <w:rPr>
      <w:rFonts w:ascii="宋体" w:hAnsi="宋体" w:eastAsia="宋体"/>
      <w:szCs w:val="24"/>
      <w:lang w:bidi="ar-SA"/>
    </w:rPr>
  </w:style>
  <w:style w:type="character" w:customStyle="1" w:styleId="310">
    <w:name w:val="Char Char15"/>
    <w:qFormat/>
    <w:uiPriority w:val="0"/>
    <w:rPr>
      <w:rFonts w:hint="default" w:ascii="Cambria" w:hAnsi="Cambria" w:eastAsia="宋体"/>
      <w:b/>
      <w:bCs/>
      <w:sz w:val="24"/>
      <w:szCs w:val="24"/>
      <w:lang w:bidi="ar-SA"/>
    </w:rPr>
  </w:style>
  <w:style w:type="character" w:customStyle="1" w:styleId="311">
    <w:name w:val="H4 Char"/>
    <w:qFormat/>
    <w:uiPriority w:val="0"/>
    <w:rPr>
      <w:rFonts w:ascii="Cambria" w:hAnsi="Cambria" w:eastAsia="仿宋_GB2312"/>
      <w:b/>
      <w:bCs/>
      <w:sz w:val="32"/>
      <w:szCs w:val="28"/>
    </w:rPr>
  </w:style>
  <w:style w:type="character" w:customStyle="1" w:styleId="312">
    <w:name w:val="Char Char20"/>
    <w:qFormat/>
    <w:uiPriority w:val="0"/>
    <w:rPr>
      <w:rFonts w:eastAsia="宋体"/>
      <w:b/>
      <w:kern w:val="2"/>
      <w:sz w:val="28"/>
      <w:lang w:bidi="ar-SA"/>
    </w:rPr>
  </w:style>
  <w:style w:type="character" w:customStyle="1" w:styleId="313">
    <w:name w:val="正文文本缩进 3 字符"/>
    <w:link w:val="40"/>
    <w:qFormat/>
    <w:uiPriority w:val="0"/>
    <w:rPr>
      <w:kern w:val="2"/>
      <w:sz w:val="21"/>
    </w:rPr>
  </w:style>
  <w:style w:type="character" w:customStyle="1" w:styleId="314">
    <w:name w:val="Char Char16"/>
    <w:qFormat/>
    <w:uiPriority w:val="0"/>
    <w:rPr>
      <w:rFonts w:hint="eastAsia" w:ascii="仿宋_GB2313" w:hAnsi="仿宋_GB2313" w:eastAsia="仿宋_GB2312"/>
      <w:b/>
      <w:bCs/>
      <w:sz w:val="32"/>
      <w:szCs w:val="28"/>
      <w:lang w:bidi="ar-SA"/>
    </w:rPr>
  </w:style>
  <w:style w:type="character" w:customStyle="1" w:styleId="315">
    <w:name w:val="Char Char7"/>
    <w:qFormat/>
    <w:uiPriority w:val="0"/>
    <w:rPr>
      <w:rFonts w:ascii="宋体" w:hAnsi="宋体" w:eastAsia="宋体"/>
      <w:sz w:val="24"/>
      <w:szCs w:val="24"/>
      <w:lang w:bidi="ar-SA"/>
    </w:rPr>
  </w:style>
  <w:style w:type="character" w:customStyle="1" w:styleId="316">
    <w:name w:val="日期 字符"/>
    <w:link w:val="28"/>
    <w:qFormat/>
    <w:uiPriority w:val="0"/>
    <w:rPr>
      <w:rFonts w:ascii="宋体" w:hAnsi="宋体"/>
      <w:kern w:val="2"/>
      <w:sz w:val="24"/>
      <w:szCs w:val="24"/>
    </w:rPr>
  </w:style>
  <w:style w:type="character" w:customStyle="1" w:styleId="317">
    <w:name w:val="Char Char12"/>
    <w:qFormat/>
    <w:uiPriority w:val="0"/>
    <w:rPr>
      <w:rFonts w:hint="default" w:ascii="Cambria" w:hAnsi="Cambria" w:eastAsia="宋体"/>
      <w:szCs w:val="21"/>
      <w:lang w:bidi="ar-SA"/>
    </w:rPr>
  </w:style>
  <w:style w:type="character" w:customStyle="1" w:styleId="318">
    <w:name w:val="标题 4 Char"/>
    <w:qFormat/>
    <w:uiPriority w:val="0"/>
    <w:rPr>
      <w:rFonts w:ascii="Arial" w:hAnsi="Arial" w:eastAsia="黑体"/>
      <w:b/>
      <w:kern w:val="2"/>
      <w:sz w:val="24"/>
    </w:rPr>
  </w:style>
  <w:style w:type="character" w:customStyle="1" w:styleId="319">
    <w:name w:val="Char Char2"/>
    <w:qFormat/>
    <w:uiPriority w:val="0"/>
    <w:rPr>
      <w:rFonts w:ascii="宋体" w:hAnsi="宋体" w:eastAsia="宋体"/>
      <w:kern w:val="2"/>
      <w:sz w:val="24"/>
      <w:szCs w:val="24"/>
      <w:lang w:val="en-US" w:eastAsia="zh-CN" w:bidi="ar-SA"/>
    </w:rPr>
  </w:style>
  <w:style w:type="character" w:customStyle="1" w:styleId="320">
    <w:name w:val="*正文 Char"/>
    <w:link w:val="321"/>
    <w:qFormat/>
    <w:uiPriority w:val="0"/>
    <w:rPr>
      <w:rFonts w:ascii="宋体" w:hAnsi="宋体"/>
      <w:sz w:val="24"/>
      <w:szCs w:val="24"/>
    </w:rPr>
  </w:style>
  <w:style w:type="paragraph" w:customStyle="1" w:styleId="321">
    <w:name w:val="*正文"/>
    <w:basedOn w:val="1"/>
    <w:link w:val="320"/>
    <w:qFormat/>
    <w:uiPriority w:val="0"/>
    <w:pPr>
      <w:spacing w:line="360" w:lineRule="auto"/>
      <w:ind w:firstLine="200" w:firstLineChars="200"/>
    </w:pPr>
    <w:rPr>
      <w:rFonts w:ascii="宋体" w:hAnsi="宋体"/>
      <w:kern w:val="0"/>
      <w:sz w:val="24"/>
    </w:rPr>
  </w:style>
  <w:style w:type="character" w:customStyle="1" w:styleId="322">
    <w:name w:val="页脚 字符1"/>
    <w:qFormat/>
    <w:uiPriority w:val="0"/>
    <w:rPr>
      <w:rFonts w:eastAsia="宋体"/>
      <w:kern w:val="2"/>
      <w:sz w:val="18"/>
      <w:lang w:bidi="ar-SA"/>
    </w:rPr>
  </w:style>
  <w:style w:type="character" w:customStyle="1" w:styleId="323">
    <w:name w:val="GP正文[858D7CFB-ED40-4347-BF05-701D383B685F]"/>
    <w:link w:val="324"/>
    <w:qFormat/>
    <w:uiPriority w:val="0"/>
    <w:rPr>
      <w:rFonts w:ascii="宋体" w:hAnsi="宋体"/>
      <w:kern w:val="2"/>
      <w:sz w:val="24"/>
      <w:szCs w:val="24"/>
    </w:rPr>
  </w:style>
  <w:style w:type="paragraph" w:customStyle="1" w:styleId="324">
    <w:name w:val="GP正文"/>
    <w:basedOn w:val="1"/>
    <w:link w:val="323"/>
    <w:qFormat/>
    <w:uiPriority w:val="0"/>
    <w:pPr>
      <w:spacing w:line="360" w:lineRule="auto"/>
      <w:ind w:firstLine="200" w:firstLineChars="200"/>
      <w:jc w:val="left"/>
    </w:pPr>
    <w:rPr>
      <w:rFonts w:ascii="宋体" w:hAnsi="宋体"/>
      <w:sz w:val="24"/>
    </w:rPr>
  </w:style>
  <w:style w:type="character" w:customStyle="1" w:styleId="325">
    <w:name w:val="Char Char14"/>
    <w:qFormat/>
    <w:uiPriority w:val="0"/>
    <w:rPr>
      <w:rFonts w:ascii="Calibri" w:hAnsi="Calibri" w:eastAsia="宋体"/>
      <w:b/>
      <w:bCs/>
      <w:sz w:val="24"/>
      <w:szCs w:val="24"/>
      <w:lang w:bidi="ar-SA"/>
    </w:rPr>
  </w:style>
  <w:style w:type="character" w:customStyle="1" w:styleId="326">
    <w:name w:val="Char Char19"/>
    <w:qFormat/>
    <w:uiPriority w:val="0"/>
    <w:rPr>
      <w:rFonts w:ascii="Arial" w:hAnsi="Arial" w:eastAsia="黑体"/>
      <w:b/>
      <w:kern w:val="2"/>
      <w:sz w:val="24"/>
      <w:lang w:bidi="ar-SA"/>
    </w:rPr>
  </w:style>
  <w:style w:type="character" w:customStyle="1" w:styleId="327">
    <w:name w:val="正文文本 Char1"/>
    <w:qFormat/>
    <w:uiPriority w:val="0"/>
    <w:rPr>
      <w:kern w:val="2"/>
      <w:sz w:val="21"/>
      <w:szCs w:val="24"/>
    </w:rPr>
  </w:style>
  <w:style w:type="character" w:customStyle="1" w:styleId="328">
    <w:name w:val="二级 Char"/>
    <w:link w:val="329"/>
    <w:qFormat/>
    <w:uiPriority w:val="0"/>
    <w:rPr>
      <w:rFonts w:ascii="仿宋" w:hAnsi="仿宋" w:eastAsia="仿宋"/>
      <w:b/>
      <w:bCs/>
      <w:spacing w:val="24"/>
      <w:kern w:val="2"/>
      <w:sz w:val="32"/>
      <w:szCs w:val="32"/>
    </w:rPr>
  </w:style>
  <w:style w:type="paragraph" w:customStyle="1" w:styleId="329">
    <w:name w:val="二级"/>
    <w:basedOn w:val="4"/>
    <w:link w:val="328"/>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qFormat/>
    <w:uiPriority w:val="0"/>
    <w:rPr>
      <w:rFonts w:eastAsia="楷体_GB2312"/>
      <w:kern w:val="2"/>
      <w:sz w:val="21"/>
    </w:rPr>
  </w:style>
  <w:style w:type="character" w:customStyle="1" w:styleId="331">
    <w:name w:val="Char Char"/>
    <w:qFormat/>
    <w:uiPriority w:val="0"/>
    <w:rPr>
      <w:rFonts w:hint="eastAsia" w:ascii="宋体" w:hAnsi="Courier New" w:eastAsia="宋体"/>
      <w:spacing w:val="-8"/>
      <w:kern w:val="2"/>
      <w:sz w:val="24"/>
      <w:lang w:val="en-US" w:eastAsia="zh-CN" w:bidi="ar-SA"/>
    </w:rPr>
  </w:style>
  <w:style w:type="character" w:customStyle="1" w:styleId="332">
    <w:name w:val="Char Char11"/>
    <w:qFormat/>
    <w:uiPriority w:val="0"/>
    <w:rPr>
      <w:rFonts w:hint="default" w:ascii="Calibri" w:hAnsi="Calibri" w:eastAsia="宋体"/>
      <w:sz w:val="18"/>
      <w:szCs w:val="18"/>
      <w:lang w:bidi="ar-SA"/>
    </w:rPr>
  </w:style>
  <w:style w:type="character" w:customStyle="1" w:styleId="333">
    <w:name w:val="页眉 字符1"/>
    <w:qFormat/>
    <w:uiPriority w:val="0"/>
    <w:rPr>
      <w:rFonts w:eastAsia="宋体"/>
      <w:kern w:val="2"/>
      <w:sz w:val="18"/>
      <w:szCs w:val="18"/>
      <w:lang w:bidi="ar-SA"/>
    </w:rPr>
  </w:style>
  <w:style w:type="character" w:customStyle="1" w:styleId="334">
    <w:name w:val="正文首行缩进 Char1"/>
    <w:qFormat/>
    <w:uiPriority w:val="0"/>
    <w:rPr>
      <w:kern w:val="2"/>
      <w:sz w:val="21"/>
    </w:rPr>
  </w:style>
  <w:style w:type="character" w:customStyle="1" w:styleId="335">
    <w:name w:val="页眉 Char1"/>
    <w:qFormat/>
    <w:uiPriority w:val="0"/>
    <w:rPr>
      <w:rFonts w:eastAsia="宋体"/>
      <w:kern w:val="2"/>
      <w:sz w:val="18"/>
      <w:szCs w:val="18"/>
      <w:lang w:val="en-US" w:eastAsia="zh-CN" w:bidi="ar-SA"/>
    </w:rPr>
  </w:style>
  <w:style w:type="character" w:customStyle="1" w:styleId="336">
    <w:name w:val="题注 Char"/>
    <w:qFormat/>
    <w:uiPriority w:val="0"/>
    <w:rPr>
      <w:rFonts w:ascii="Cambria" w:hAnsi="Cambria" w:eastAsia="黑体"/>
      <w:kern w:val="2"/>
      <w:lang w:bidi="ar-SA"/>
    </w:rPr>
  </w:style>
  <w:style w:type="character" w:customStyle="1" w:styleId="337">
    <w:name w:val="样式 标题 3 + 小四 Char"/>
    <w:qFormat/>
    <w:uiPriority w:val="0"/>
    <w:rPr>
      <w:rFonts w:ascii="宋体" w:hAnsi="宋体" w:cs="Arial"/>
      <w:b/>
      <w:bCs/>
      <w:smallCaps/>
      <w:sz w:val="24"/>
      <w:lang w:val="en-US" w:eastAsia="zh-CN"/>
    </w:rPr>
  </w:style>
  <w:style w:type="character" w:customStyle="1" w:styleId="338">
    <w:name w:val="unnamed21"/>
    <w:qFormat/>
    <w:uiPriority w:val="0"/>
    <w:rPr>
      <w:color w:val="CC6633"/>
      <w:u w:val="none"/>
    </w:rPr>
  </w:style>
  <w:style w:type="character" w:customStyle="1" w:styleId="339">
    <w:name w:val="16"/>
    <w:qFormat/>
    <w:uiPriority w:val="0"/>
    <w:rPr>
      <w:rFonts w:hint="eastAsia" w:ascii="宋体" w:hAnsi="宋体" w:eastAsia="宋体" w:cs="Arial"/>
      <w:b/>
      <w:bCs/>
      <w:smallCaps/>
      <w:kern w:val="2"/>
      <w:sz w:val="24"/>
      <w:szCs w:val="24"/>
    </w:rPr>
  </w:style>
  <w:style w:type="character" w:customStyle="1" w:styleId="340">
    <w:name w:val="正文文本缩进 字符"/>
    <w:qFormat/>
    <w:uiPriority w:val="0"/>
    <w:rPr>
      <w:rFonts w:eastAsia="宋体"/>
      <w:kern w:val="2"/>
      <w:sz w:val="24"/>
      <w:lang w:bidi="ar-SA"/>
    </w:rPr>
  </w:style>
  <w:style w:type="character" w:customStyle="1" w:styleId="341">
    <w:name w:val="Char Char8"/>
    <w:qFormat/>
    <w:uiPriority w:val="0"/>
    <w:rPr>
      <w:rFonts w:hint="default" w:ascii="Calibri" w:hAnsi="Calibri" w:eastAsia="宋体"/>
      <w:kern w:val="2"/>
      <w:sz w:val="21"/>
      <w:szCs w:val="22"/>
      <w:lang w:val="en-US" w:eastAsia="zh-CN" w:bidi="ar-SA"/>
    </w:rPr>
  </w:style>
  <w:style w:type="character" w:customStyle="1" w:styleId="342">
    <w:name w:val="H3 Char1"/>
    <w:qFormat/>
    <w:uiPriority w:val="0"/>
    <w:rPr>
      <w:rFonts w:ascii="仿宋_GB2312" w:eastAsia="仿宋_GB2312"/>
      <w:b/>
      <w:bCs/>
      <w:color w:val="000000"/>
      <w:kern w:val="2"/>
      <w:sz w:val="32"/>
      <w:szCs w:val="32"/>
    </w:rPr>
  </w:style>
  <w:style w:type="character" w:customStyle="1" w:styleId="343">
    <w:name w:val="Char Char1"/>
    <w:qFormat/>
    <w:uiPriority w:val="0"/>
    <w:rPr>
      <w:rFonts w:hint="eastAsia" w:ascii="宋体" w:hAnsi="宋体" w:eastAsia="宋体"/>
      <w:kern w:val="2"/>
      <w:sz w:val="21"/>
      <w:szCs w:val="24"/>
      <w:lang w:val="en-US" w:eastAsia="zh-CN" w:bidi="ar-SA"/>
    </w:rPr>
  </w:style>
  <w:style w:type="character" w:customStyle="1" w:styleId="344">
    <w:name w:val="Char Char10"/>
    <w:qFormat/>
    <w:uiPriority w:val="0"/>
    <w:rPr>
      <w:rFonts w:eastAsia="宋体"/>
      <w:kern w:val="2"/>
      <w:sz w:val="18"/>
      <w:szCs w:val="18"/>
      <w:lang w:val="en-US" w:eastAsia="zh-CN" w:bidi="ar-SA"/>
    </w:rPr>
  </w:style>
  <w:style w:type="character" w:customStyle="1" w:styleId="345">
    <w:name w:val="文档正文 Char"/>
    <w:link w:val="346"/>
    <w:qFormat/>
    <w:uiPriority w:val="0"/>
    <w:rPr>
      <w:rFonts w:ascii="Arial" w:hAnsi="Arial" w:cs="Arial"/>
      <w:bCs/>
      <w:kern w:val="2"/>
      <w:sz w:val="24"/>
      <w:szCs w:val="24"/>
    </w:rPr>
  </w:style>
  <w:style w:type="paragraph" w:customStyle="1" w:styleId="346">
    <w:name w:val="文档正文"/>
    <w:basedOn w:val="1"/>
    <w:link w:val="345"/>
    <w:qFormat/>
    <w:uiPriority w:val="0"/>
    <w:rPr>
      <w:rFonts w:ascii="Arial" w:hAnsi="Arial" w:cs="Arial"/>
      <w:bCs/>
      <w:sz w:val="24"/>
    </w:rPr>
  </w:style>
  <w:style w:type="character" w:customStyle="1" w:styleId="347">
    <w:name w:val="正文文本 2 Char2"/>
    <w:basedOn w:val="52"/>
    <w:semiHidden/>
    <w:qFormat/>
    <w:uiPriority w:val="0"/>
    <w:rPr>
      <w:kern w:val="2"/>
      <w:sz w:val="21"/>
      <w:szCs w:val="24"/>
    </w:rPr>
  </w:style>
  <w:style w:type="character" w:customStyle="1" w:styleId="348">
    <w:name w:val="标题 字符1"/>
    <w:basedOn w:val="52"/>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qFormat/>
    <w:uiPriority w:val="0"/>
    <w:rPr>
      <w:kern w:val="2"/>
      <w:sz w:val="21"/>
      <w:szCs w:val="24"/>
    </w:rPr>
  </w:style>
  <w:style w:type="character" w:customStyle="1" w:styleId="350">
    <w:name w:val="签名 Char2"/>
    <w:basedOn w:val="52"/>
    <w:semiHidden/>
    <w:qFormat/>
    <w:uiPriority w:val="0"/>
    <w:rPr>
      <w:kern w:val="2"/>
      <w:sz w:val="21"/>
      <w:szCs w:val="24"/>
    </w:rPr>
  </w:style>
  <w:style w:type="character" w:customStyle="1" w:styleId="351">
    <w:name w:val="正文文本缩进 3 Char2"/>
    <w:basedOn w:val="52"/>
    <w:semiHidden/>
    <w:qFormat/>
    <w:uiPriority w:val="0"/>
    <w:rPr>
      <w:kern w:val="2"/>
      <w:sz w:val="16"/>
      <w:szCs w:val="16"/>
    </w:rPr>
  </w:style>
  <w:style w:type="character" w:customStyle="1" w:styleId="352">
    <w:name w:val="日期 Char2"/>
    <w:basedOn w:val="52"/>
    <w:semiHidden/>
    <w:qFormat/>
    <w:uiPriority w:val="0"/>
    <w:rPr>
      <w:kern w:val="2"/>
      <w:sz w:val="21"/>
      <w:szCs w:val="24"/>
    </w:rPr>
  </w:style>
  <w:style w:type="paragraph" w:customStyle="1" w:styleId="353">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qFormat/>
    <w:uiPriority w:val="0"/>
    <w:pPr>
      <w:widowControl/>
      <w:jc w:val="center"/>
    </w:pPr>
    <w:rPr>
      <w:rFonts w:ascii="Arial" w:hAnsi="Arial"/>
      <w:b/>
      <w:kern w:val="0"/>
      <w:sz w:val="18"/>
      <w:szCs w:val="20"/>
    </w:rPr>
  </w:style>
  <w:style w:type="paragraph" w:customStyle="1" w:styleId="359">
    <w:name w:val="4"/>
    <w:basedOn w:val="1"/>
    <w:next w:val="1"/>
    <w:qFormat/>
    <w:uiPriority w:val="0"/>
  </w:style>
  <w:style w:type="paragraph" w:customStyle="1" w:styleId="36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qFormat/>
    <w:uiPriority w:val="0"/>
    <w:pPr>
      <w:spacing w:line="360" w:lineRule="auto"/>
      <w:ind w:firstLine="200" w:firstLineChars="200"/>
    </w:pPr>
    <w:rPr>
      <w:szCs w:val="20"/>
    </w:rPr>
  </w:style>
  <w:style w:type="paragraph" w:customStyle="1" w:styleId="362">
    <w:name w:val="样式 标题 5H5dashdsddh5PIM 5口一heading 5Titre5Table label...3"/>
    <w:basedOn w:val="7"/>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5"/>
    <w:qFormat/>
    <w:uiPriority w:val="0"/>
    <w:pPr>
      <w:tabs>
        <w:tab w:val="right" w:leader="dot" w:pos="9458"/>
      </w:tabs>
    </w:pPr>
    <w:rPr>
      <w:rFonts w:ascii="Arial" w:cs="Arial"/>
      <w:i/>
    </w:rPr>
  </w:style>
  <w:style w:type="paragraph" w:customStyle="1" w:styleId="36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qFormat/>
    <w:uiPriority w:val="0"/>
    <w:pPr>
      <w:keepLines/>
      <w:widowControl/>
      <w:spacing w:beforeLines="50" w:afterLines="50" w:line="300" w:lineRule="auto"/>
    </w:pPr>
    <w:rPr>
      <w:rFonts w:ascii="Arial" w:hAnsi="Arial"/>
      <w:bCs/>
    </w:rPr>
  </w:style>
  <w:style w:type="paragraph" w:customStyle="1" w:styleId="367">
    <w:name w:val="样式5"/>
    <w:basedOn w:val="368"/>
    <w:next w:val="368"/>
    <w:qFormat/>
    <w:uiPriority w:val="0"/>
    <w:pPr>
      <w:tabs>
        <w:tab w:val="right" w:leader="dot" w:pos="9458"/>
      </w:tabs>
    </w:pPr>
  </w:style>
  <w:style w:type="paragraph" w:customStyle="1" w:styleId="368">
    <w:name w:val="样式4"/>
    <w:basedOn w:val="34"/>
    <w:qFormat/>
    <w:uiPriority w:val="0"/>
    <w:pPr>
      <w:tabs>
        <w:tab w:val="right" w:leader="dot" w:pos="9458"/>
      </w:tabs>
    </w:pPr>
    <w:rPr>
      <w:b w:val="0"/>
    </w:rPr>
  </w:style>
  <w:style w:type="paragraph" w:customStyle="1" w:styleId="369">
    <w:name w:val="TOC 标题1"/>
    <w:basedOn w:val="3"/>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qFormat/>
    <w:uiPriority w:val="0"/>
    <w:pPr>
      <w:widowControl/>
      <w:jc w:val="center"/>
    </w:pPr>
    <w:rPr>
      <w:rFonts w:ascii="Arial" w:hAnsi="Arial"/>
      <w:snapToGrid w:val="0"/>
      <w:kern w:val="0"/>
      <w:sz w:val="18"/>
      <w:szCs w:val="20"/>
    </w:rPr>
  </w:style>
  <w:style w:type="paragraph" w:customStyle="1" w:styleId="374">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3"/>
    <w:next w:val="378"/>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qFormat/>
    <w:uiPriority w:val="0"/>
    <w:pPr>
      <w:ind w:firstLine="567"/>
    </w:pPr>
    <w:rPr>
      <w:spacing w:val="20"/>
      <w:sz w:val="24"/>
      <w:szCs w:val="20"/>
    </w:rPr>
  </w:style>
  <w:style w:type="paragraph" w:customStyle="1" w:styleId="385">
    <w:name w:val="_正文"/>
    <w:basedOn w:val="1"/>
    <w:qFormat/>
    <w:uiPriority w:val="99"/>
    <w:pPr>
      <w:spacing w:line="360" w:lineRule="auto"/>
      <w:ind w:firstLine="200" w:firstLineChars="200"/>
    </w:pPr>
    <w:rPr>
      <w:rFonts w:ascii="宋体" w:hAnsi="宋体"/>
      <w:sz w:val="24"/>
    </w:rPr>
  </w:style>
  <w:style w:type="paragraph" w:customStyle="1" w:styleId="386">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qFormat/>
    <w:uiPriority w:val="0"/>
    <w:pPr>
      <w:ind w:firstLine="420" w:firstLineChars="200"/>
    </w:pPr>
    <w:rPr>
      <w:rFonts w:ascii="仿宋_GB2312" w:eastAsia="仿宋_GB2312" w:cs="宋体"/>
      <w:spacing w:val="6"/>
      <w:sz w:val="30"/>
      <w:szCs w:val="30"/>
    </w:rPr>
  </w:style>
  <w:style w:type="paragraph" w:customStyle="1" w:styleId="388">
    <w:name w:val="_Style 15"/>
    <w:basedOn w:val="1"/>
    <w:qFormat/>
    <w:uiPriority w:val="0"/>
  </w:style>
  <w:style w:type="paragraph" w:customStyle="1" w:styleId="38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6"/>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2"/>
    <w:qFormat/>
    <w:uiPriority w:val="0"/>
    <w:pPr>
      <w:ind w:left="572" w:right="32" w:firstLine="478"/>
    </w:pPr>
    <w:rPr>
      <w:szCs w:val="21"/>
    </w:rPr>
  </w:style>
  <w:style w:type="paragraph" w:customStyle="1" w:styleId="397">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8">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qFormat/>
    <w:uiPriority w:val="0"/>
    <w:pPr>
      <w:spacing w:line="360" w:lineRule="auto"/>
      <w:ind w:hanging="420"/>
      <w:jc w:val="center"/>
    </w:pPr>
    <w:rPr>
      <w:sz w:val="24"/>
      <w:szCs w:val="20"/>
    </w:rPr>
  </w:style>
  <w:style w:type="paragraph" w:customStyle="1" w:styleId="400">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qFormat/>
    <w:uiPriority w:val="0"/>
  </w:style>
  <w:style w:type="paragraph" w:customStyle="1" w:styleId="402">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qFormat/>
    <w:uiPriority w:val="0"/>
  </w:style>
  <w:style w:type="paragraph" w:customStyle="1" w:styleId="40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5"/>
    <w:qFormat/>
    <w:uiPriority w:val="0"/>
    <w:pPr>
      <w:tabs>
        <w:tab w:val="right" w:leader="dot" w:pos="9458"/>
      </w:tabs>
    </w:pPr>
    <w:rPr>
      <w:i/>
    </w:rPr>
  </w:style>
  <w:style w:type="paragraph" w:customStyle="1" w:styleId="407">
    <w:name w:val="msolistparagraph"/>
    <w:basedOn w:val="1"/>
    <w:qFormat/>
    <w:uiPriority w:val="0"/>
    <w:pPr>
      <w:ind w:firstLine="420" w:firstLineChars="200"/>
    </w:pPr>
    <w:rPr>
      <w:rFonts w:ascii="Calibri" w:hAnsi="Calibri"/>
      <w:szCs w:val="22"/>
    </w:rPr>
  </w:style>
  <w:style w:type="paragraph" w:customStyle="1" w:styleId="408">
    <w:name w:val="Char Char16 Char Char"/>
    <w:basedOn w:val="1"/>
    <w:qFormat/>
    <w:uiPriority w:val="0"/>
    <w:rPr>
      <w:rFonts w:ascii="Tahoma" w:hAnsi="Tahoma"/>
      <w:sz w:val="24"/>
      <w:szCs w:val="20"/>
    </w:rPr>
  </w:style>
  <w:style w:type="paragraph" w:customStyle="1" w:styleId="409">
    <w:name w:val="正文内容"/>
    <w:basedOn w:val="1"/>
    <w:qFormat/>
    <w:uiPriority w:val="0"/>
    <w:rPr>
      <w:rFonts w:ascii="Arial" w:hAnsi="Arial"/>
      <w:spacing w:val="-12"/>
      <w:szCs w:val="20"/>
    </w:rPr>
  </w:style>
  <w:style w:type="paragraph" w:customStyle="1" w:styleId="4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qFormat/>
    <w:uiPriority w:val="0"/>
    <w:rPr>
      <w:rFonts w:ascii="Times New Roman" w:hAnsi="Times New Roman" w:eastAsia="宋体" w:cs="Times New Roman"/>
      <w:lang w:val="en-US" w:eastAsia="zh-CN" w:bidi="ar-SA"/>
    </w:rPr>
  </w:style>
  <w:style w:type="paragraph" w:customStyle="1" w:styleId="41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qFormat/>
    <w:uiPriority w:val="0"/>
  </w:style>
  <w:style w:type="paragraph" w:customStyle="1" w:styleId="419">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qFormat/>
    <w:uiPriority w:val="0"/>
    <w:pPr>
      <w:spacing w:before="120" w:after="120"/>
    </w:pPr>
    <w:rPr>
      <w:rFonts w:ascii="宋体"/>
      <w:b/>
      <w:sz w:val="28"/>
    </w:rPr>
  </w:style>
  <w:style w:type="paragraph" w:customStyle="1" w:styleId="422">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qFormat/>
    <w:uiPriority w:val="0"/>
    <w:pPr>
      <w:ind w:left="980" w:hanging="420"/>
    </w:pPr>
    <w:rPr>
      <w:sz w:val="24"/>
    </w:rPr>
  </w:style>
  <w:style w:type="paragraph" w:customStyle="1" w:styleId="426">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qFormat/>
    <w:uiPriority w:val="0"/>
    <w:pPr>
      <w:ind w:firstLine="480" w:firstLineChars="200"/>
    </w:pPr>
    <w:rPr>
      <w:rFonts w:cs="宋体"/>
      <w:szCs w:val="20"/>
    </w:rPr>
  </w:style>
  <w:style w:type="paragraph" w:customStyle="1" w:styleId="429">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表段落 字符1"/>
    <w:link w:val="455"/>
    <w:qFormat/>
    <w:uiPriority w:val="34"/>
    <w:rPr>
      <w:kern w:val="2"/>
      <w:sz w:val="21"/>
      <w:szCs w:val="24"/>
    </w:rPr>
  </w:style>
  <w:style w:type="paragraph" w:styleId="455">
    <w:name w:val="List Paragraph"/>
    <w:basedOn w:val="1"/>
    <w:link w:val="454"/>
    <w:qFormat/>
    <w:uiPriority w:val="34"/>
    <w:pPr>
      <w:ind w:firstLine="420" w:firstLineChars="200"/>
    </w:pPr>
  </w:style>
  <w:style w:type="paragraph" w:customStyle="1" w:styleId="456">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qFormat/>
    <w:uiPriority w:val="0"/>
    <w:pPr>
      <w:spacing w:afterLines="20"/>
      <w:ind w:firstLine="1446" w:firstLineChars="200"/>
    </w:pPr>
    <w:rPr>
      <w:rFonts w:ascii="Calibri" w:hAnsi="Calibri"/>
      <w:sz w:val="24"/>
    </w:rPr>
  </w:style>
  <w:style w:type="character" w:customStyle="1" w:styleId="458">
    <w:name w:val="正文文本 3 字符"/>
    <w:basedOn w:val="52"/>
    <w:link w:val="20"/>
    <w:qFormat/>
    <w:uiPriority w:val="0"/>
    <w:rPr>
      <w:kern w:val="2"/>
      <w:sz w:val="16"/>
      <w:szCs w:val="16"/>
    </w:rPr>
  </w:style>
  <w:style w:type="character" w:customStyle="1" w:styleId="459">
    <w:name w:val="content"/>
    <w:basedOn w:val="52"/>
    <w:qFormat/>
    <w:uiPriority w:val="0"/>
  </w:style>
  <w:style w:type="character" w:customStyle="1" w:styleId="460">
    <w:name w:val="ca-3"/>
    <w:basedOn w:val="52"/>
    <w:qFormat/>
    <w:uiPriority w:val="0"/>
  </w:style>
  <w:style w:type="character" w:customStyle="1" w:styleId="461">
    <w:name w:val="textcontents1"/>
    <w:qFormat/>
    <w:uiPriority w:val="0"/>
    <w:rPr>
      <w:rFonts w:hint="default" w:ascii="ˎ̥" w:hAnsi="ˎ̥"/>
      <w:sz w:val="21"/>
      <w:szCs w:val="21"/>
    </w:rPr>
  </w:style>
  <w:style w:type="character" w:customStyle="1" w:styleId="462">
    <w:name w:val="脚注文本 Char1"/>
    <w:qFormat/>
    <w:uiPriority w:val="0"/>
    <w:rPr>
      <w:kern w:val="2"/>
      <w:sz w:val="18"/>
      <w:szCs w:val="18"/>
    </w:rPr>
  </w:style>
  <w:style w:type="character" w:customStyle="1" w:styleId="463">
    <w:name w:val="脚注文本 Char"/>
    <w:qFormat/>
    <w:uiPriority w:val="0"/>
    <w:rPr>
      <w:kern w:val="2"/>
      <w:sz w:val="18"/>
      <w:szCs w:val="18"/>
    </w:rPr>
  </w:style>
  <w:style w:type="character" w:customStyle="1" w:styleId="464">
    <w:name w:val="正文首行缩进（绿盟科技） Char"/>
    <w:link w:val="465"/>
    <w:qFormat/>
    <w:uiPriority w:val="0"/>
    <w:rPr>
      <w:rFonts w:ascii="Arial" w:hAnsi="Arial"/>
      <w:szCs w:val="21"/>
    </w:rPr>
  </w:style>
  <w:style w:type="paragraph" w:customStyle="1" w:styleId="465">
    <w:name w:val="正文首行缩进（绿盟科技）"/>
    <w:basedOn w:val="1"/>
    <w:link w:val="464"/>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qFormat/>
    <w:uiPriority w:val="0"/>
  </w:style>
  <w:style w:type="character" w:customStyle="1" w:styleId="467">
    <w:name w:val="Char Char21"/>
    <w:qFormat/>
    <w:uiPriority w:val="0"/>
    <w:rPr>
      <w:b/>
      <w:bCs/>
      <w:kern w:val="2"/>
      <w:sz w:val="32"/>
      <w:szCs w:val="32"/>
    </w:rPr>
  </w:style>
  <w:style w:type="character" w:customStyle="1" w:styleId="468">
    <w:name w:val="content1"/>
    <w:qFormat/>
    <w:uiPriority w:val="0"/>
    <w:rPr>
      <w:rFonts w:hint="default" w:ascii="??" w:hAnsi="??"/>
      <w:sz w:val="16"/>
      <w:szCs w:val="16"/>
      <w:u w:val="none"/>
    </w:rPr>
  </w:style>
  <w:style w:type="character" w:customStyle="1" w:styleId="469">
    <w:name w:val="text21"/>
    <w:basedOn w:val="52"/>
    <w:qFormat/>
    <w:uiPriority w:val="0"/>
  </w:style>
  <w:style w:type="character" w:customStyle="1" w:styleId="470">
    <w:name w:val="apple-style-span"/>
    <w:basedOn w:val="52"/>
    <w:qFormat/>
    <w:uiPriority w:val="0"/>
  </w:style>
  <w:style w:type="paragraph" w:customStyle="1" w:styleId="471">
    <w:name w:val="缺省文本"/>
    <w:basedOn w:val="1"/>
    <w:qFormat/>
    <w:uiPriority w:val="0"/>
    <w:pPr>
      <w:autoSpaceDE w:val="0"/>
      <w:autoSpaceDN w:val="0"/>
      <w:adjustRightInd w:val="0"/>
      <w:jc w:val="left"/>
    </w:pPr>
    <w:rPr>
      <w:kern w:val="0"/>
      <w:sz w:val="24"/>
    </w:rPr>
  </w:style>
  <w:style w:type="paragraph" w:customStyle="1" w:styleId="472">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6"/>
    <w:qFormat/>
    <w:uiPriority w:val="0"/>
    <w:rPr>
      <w:rFonts w:ascii="宋体" w:hAnsi="Courier New"/>
      <w:szCs w:val="20"/>
    </w:rPr>
  </w:style>
  <w:style w:type="paragraph" w:customStyle="1" w:styleId="474">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qFormat/>
    <w:uiPriority w:val="0"/>
    <w:pPr>
      <w:widowControl/>
      <w:spacing w:after="160" w:line="240" w:lineRule="exact"/>
      <w:jc w:val="left"/>
    </w:pPr>
  </w:style>
  <w:style w:type="paragraph" w:customStyle="1" w:styleId="476">
    <w:name w:val="USE 1"/>
    <w:basedOn w:val="1"/>
    <w:qFormat/>
    <w:uiPriority w:val="0"/>
    <w:pPr>
      <w:spacing w:line="200" w:lineRule="atLeast"/>
      <w:jc w:val="left"/>
    </w:pPr>
    <w:rPr>
      <w:rFonts w:ascii="宋体" w:hAnsi="宋体"/>
      <w:b/>
      <w:sz w:val="24"/>
      <w:szCs w:val="28"/>
    </w:rPr>
  </w:style>
  <w:style w:type="paragraph" w:customStyle="1" w:styleId="477">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6"/>
    <w:qFormat/>
    <w:uiPriority w:val="0"/>
    <w:rPr>
      <w:rFonts w:ascii="宋体" w:hAnsi="Courier New"/>
      <w:szCs w:val="20"/>
    </w:rPr>
  </w:style>
  <w:style w:type="character" w:customStyle="1" w:styleId="481">
    <w:name w:val="脚注文本 字符"/>
    <w:basedOn w:val="52"/>
    <w:link w:val="38"/>
    <w:semiHidden/>
    <w:qFormat/>
    <w:uiPriority w:val="0"/>
    <w:rPr>
      <w:kern w:val="2"/>
      <w:sz w:val="18"/>
      <w:szCs w:val="18"/>
    </w:rPr>
  </w:style>
  <w:style w:type="paragraph" w:customStyle="1" w:styleId="482">
    <w:name w:val="_Style 56"/>
    <w:basedOn w:val="1"/>
    <w:next w:val="26"/>
    <w:qFormat/>
    <w:uiPriority w:val="0"/>
    <w:rPr>
      <w:rFonts w:ascii="宋体" w:hAnsi="Courier New"/>
      <w:szCs w:val="20"/>
    </w:rPr>
  </w:style>
  <w:style w:type="paragraph" w:customStyle="1" w:styleId="483">
    <w:name w:val="Char Char Char Char2"/>
    <w:basedOn w:val="1"/>
    <w:qFormat/>
    <w:uiPriority w:val="0"/>
    <w:pPr>
      <w:widowControl/>
      <w:spacing w:after="160" w:line="240" w:lineRule="exact"/>
      <w:jc w:val="center"/>
    </w:pPr>
  </w:style>
  <w:style w:type="paragraph" w:customStyle="1" w:styleId="484">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qFormat/>
    <w:uiPriority w:val="0"/>
    <w:pPr>
      <w:widowControl/>
      <w:spacing w:after="160" w:line="240" w:lineRule="exact"/>
      <w:jc w:val="left"/>
    </w:pPr>
  </w:style>
  <w:style w:type="paragraph" w:customStyle="1" w:styleId="490">
    <w:name w:val="_Style 50"/>
    <w:basedOn w:val="1"/>
    <w:next w:val="29"/>
    <w:qFormat/>
    <w:uiPriority w:val="0"/>
    <w:pPr>
      <w:adjustRightInd w:val="0"/>
      <w:snapToGrid w:val="0"/>
      <w:spacing w:line="300" w:lineRule="auto"/>
      <w:ind w:firstLine="630" w:firstLineChars="300"/>
    </w:pPr>
    <w:rPr>
      <w:snapToGrid w:val="0"/>
      <w:kern w:val="0"/>
    </w:rPr>
  </w:style>
  <w:style w:type="paragraph" w:customStyle="1" w:styleId="491">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492">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6"/>
    <w:qFormat/>
    <w:uiPriority w:val="0"/>
    <w:rPr>
      <w:rFonts w:ascii="宋体" w:hAnsi="Courier New"/>
      <w:szCs w:val="20"/>
    </w:rPr>
  </w:style>
  <w:style w:type="paragraph" w:customStyle="1" w:styleId="495">
    <w:name w:val="Char Char Char"/>
    <w:basedOn w:val="1"/>
    <w:qFormat/>
    <w:uiPriority w:val="0"/>
    <w:rPr>
      <w:szCs w:val="20"/>
    </w:rPr>
  </w:style>
  <w:style w:type="paragraph" w:customStyle="1" w:styleId="496">
    <w:name w:val="Char2"/>
    <w:basedOn w:val="1"/>
    <w:qFormat/>
    <w:uiPriority w:val="0"/>
    <w:rPr>
      <w:rFonts w:ascii="Tahoma" w:hAnsi="Tahoma"/>
      <w:sz w:val="24"/>
      <w:szCs w:val="20"/>
    </w:rPr>
  </w:style>
  <w:style w:type="paragraph" w:customStyle="1" w:styleId="497">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6"/>
    <w:qFormat/>
    <w:uiPriority w:val="0"/>
    <w:rPr>
      <w:rFonts w:ascii="宋体" w:hAnsi="Courier New"/>
      <w:szCs w:val="20"/>
    </w:rPr>
  </w:style>
  <w:style w:type="paragraph" w:customStyle="1" w:styleId="501">
    <w:name w:val="2"/>
    <w:basedOn w:val="1"/>
    <w:next w:val="45"/>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29"/>
    <w:qFormat/>
    <w:uiPriority w:val="0"/>
    <w:pPr>
      <w:adjustRightInd w:val="0"/>
      <w:snapToGrid w:val="0"/>
      <w:spacing w:line="300" w:lineRule="auto"/>
      <w:ind w:firstLine="630" w:firstLineChars="300"/>
    </w:pPr>
    <w:rPr>
      <w:snapToGrid w:val="0"/>
      <w:kern w:val="0"/>
    </w:rPr>
  </w:style>
  <w:style w:type="paragraph" w:customStyle="1" w:styleId="503">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76092" w:themeColor="accent1" w:themeShade="BF"/>
      <w:kern w:val="0"/>
    </w:rPr>
  </w:style>
  <w:style w:type="character" w:customStyle="1" w:styleId="505">
    <w:name w:val="Ｒ07-正!!文 Char Char"/>
    <w:link w:val="506"/>
    <w:qFormat/>
    <w:uiPriority w:val="0"/>
    <w:rPr>
      <w:rFonts w:ascii="宋体" w:hAnsi="宋体" w:cs="宋体"/>
      <w:snapToGrid w:val="0"/>
      <w:spacing w:val="4"/>
      <w:kern w:val="2"/>
      <w:sz w:val="24"/>
      <w:szCs w:val="24"/>
    </w:rPr>
  </w:style>
  <w:style w:type="paragraph" w:customStyle="1" w:styleId="506">
    <w:name w:val="Ｒ07-正!!文"/>
    <w:link w:val="505"/>
    <w:qFormat/>
    <w:uiPriority w:val="0"/>
    <w:pPr>
      <w:wordWrap w:val="0"/>
      <w:spacing w:afterLines="20" w:line="312" w:lineRule="auto"/>
      <w:ind w:firstLine="496" w:firstLineChars="200"/>
    </w:pPr>
    <w:rPr>
      <w:rFonts w:ascii="宋体" w:hAnsi="宋体" w:eastAsia="宋体" w:cs="宋体"/>
      <w:snapToGrid w:val="0"/>
      <w:spacing w:val="4"/>
      <w:kern w:val="2"/>
      <w:sz w:val="24"/>
      <w:szCs w:val="24"/>
      <w:lang w:val="en-US" w:eastAsia="zh-CN" w:bidi="ar-SA"/>
    </w:rPr>
  </w:style>
  <w:style w:type="character" w:customStyle="1" w:styleId="507">
    <w:name w:val="Ｒ07-!正! Char Char"/>
    <w:link w:val="508"/>
    <w:qFormat/>
    <w:uiPriority w:val="0"/>
    <w:rPr>
      <w:rFonts w:ascii="宋体" w:hAnsi="宋体" w:cs="宋体"/>
      <w:snapToGrid w:val="0"/>
      <w:spacing w:val="8"/>
      <w:kern w:val="2"/>
      <w:sz w:val="24"/>
      <w:szCs w:val="24"/>
    </w:rPr>
  </w:style>
  <w:style w:type="paragraph" w:customStyle="1" w:styleId="508">
    <w:name w:val="Ｒ07-!正!"/>
    <w:link w:val="507"/>
    <w:qFormat/>
    <w:uiPriority w:val="0"/>
    <w:pPr>
      <w:wordWrap w:val="0"/>
      <w:spacing w:afterLines="20" w:line="360" w:lineRule="auto"/>
      <w:ind w:firstLine="512" w:firstLineChars="200"/>
    </w:pPr>
    <w:rPr>
      <w:rFonts w:ascii="宋体" w:hAnsi="宋体" w:eastAsia="宋体" w:cs="宋体"/>
      <w:snapToGrid w:val="0"/>
      <w:spacing w:val="8"/>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61D642-7FBE-4EBA-A60A-218541EAB66F}">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69</Pages>
  <Words>7424</Words>
  <Characters>42320</Characters>
  <Lines>352</Lines>
  <Paragraphs>99</Paragraphs>
  <TotalTime>11</TotalTime>
  <ScaleCrop>false</ScaleCrop>
  <LinksUpToDate>false</LinksUpToDate>
  <CharactersWithSpaces>49645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2021-12-27T01:37:00Z</dcterms:created>
  <dc:creator>微软用户</dc:creator>
  <cp:lastModifiedBy>是创不是灿</cp:lastModifiedBy>
  <cp:lastPrinted>2022-01-10T11:09:50Z</cp:lastPrinted>
  <dcterms:modified xsi:type="dcterms:W3CDTF">2022-01-10T11:11:05Z</dcterms:modified>
  <dc:title>招标编号：UHO2010-G0029</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6F26340B09084C9989B05BC1310B73A1</vt:lpwstr>
  </property>
</Properties>
</file>